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26"/>
        <w:gridCol w:w="1019"/>
        <w:gridCol w:w="357"/>
        <w:gridCol w:w="684"/>
        <w:gridCol w:w="2327"/>
        <w:gridCol w:w="10725"/>
      </w:tblGrid>
      <w:tr w:rsidR="00941C90" w:rsidTr="00AC3FD3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hd w:val="clear" w:color="auto" w:fill="9BC2E6"/>
              </w:rPr>
              <w:t>序號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9E1D77" w:rsidTr="00AC3FD3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jc w:val="center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jc w:val="center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Bliss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jc w:val="center"/>
              <w:rPr>
                <w:sz w:val="24"/>
                <w:szCs w:val="24"/>
              </w:rPr>
            </w:pPr>
            <w:r w:rsidRPr="009E1D77">
              <w:rPr>
                <w:rFonts w:ascii="Gungsuh" w:eastAsia="Gungsuh" w:hAnsi="Gungsuh" w:cs="Gungsuh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rPr>
                <w:sz w:val="24"/>
                <w:szCs w:val="24"/>
              </w:rPr>
            </w:pPr>
            <w:r w:rsidRPr="009E1D77">
              <w:rPr>
                <w:rFonts w:ascii="Gungsuh" w:eastAsia="Gungsuh" w:hAnsi="Gungsuh" w:cs="Gungsuh"/>
                <w:sz w:val="24"/>
                <w:szCs w:val="24"/>
                <w:highlight w:val="white"/>
              </w:rPr>
              <w:t>電機工程系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hyperlink r:id="rId5">
              <w:r w:rsidRPr="009E1D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http://ee.stust.edu.</w:t>
              </w:r>
              <w:bookmarkStart w:id="0" w:name="_GoBack"/>
              <w:bookmarkEnd w:id="0"/>
              <w:r w:rsidRPr="009E1D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Gungsuh" w:eastAsia="Gungsuh" w:hAnsi="Gungsuh" w:cs="Gungsuh"/>
                <w:sz w:val="24"/>
                <w:szCs w:val="24"/>
              </w:rPr>
              <w:t>Introduction: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color w:val="032553"/>
                <w:sz w:val="24"/>
                <w:szCs w:val="24"/>
              </w:rPr>
              <w:t>Department Goal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We aim to equip capable individuals with expertise in Control and IC, Power and Information, and Biomedical Electronics.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color w:val="032553"/>
                <w:sz w:val="24"/>
                <w:szCs w:val="24"/>
              </w:rPr>
              <w:t>Characteristics of Curriculum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In response to the national goal for upgrading the industry, and the goals set forth by the nearby Tainan Science Park, we offer a comprehensive system of courses emphasizing electrical machinery, electronic circuit analysis and design, IC design, emerging energy technology and biomedical technology. 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color w:val="032553"/>
                <w:sz w:val="24"/>
                <w:szCs w:val="24"/>
              </w:rPr>
              <w:t>Future development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•    We will continue our efforts in our existing research areas: Control and IC design, Power and Information and Biomedical Electronics. We will further strengthen our links with the industry.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•    We will continue the endeavors on exclusive technologies and patents developed by our colleagues from 19 research laboratories, Intelligent Robot Center and Biomedical Electronics Center.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03255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032553"/>
                <w:sz w:val="24"/>
                <w:szCs w:val="24"/>
              </w:rPr>
              <w:t xml:space="preserve"> 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color w:val="032553"/>
                <w:sz w:val="24"/>
                <w:szCs w:val="24"/>
              </w:rPr>
              <w:lastRenderedPageBreak/>
              <w:t>  History of the Electrical Engineering Department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1969 - Department of Electrical Engineering and two-year junior college program established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1972 - Establishment of the five-year junior college program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1996 - Establishment of the two-year undergraduate programs granting Bachelor of Science degree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2000 - Establishment of the MS degree program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2004 - Ph.D. program offered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2007 - English-taught International Master's Program offered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2008 - English-taught International Ph. D. Program offered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2014 - English-taught global B.S. program was offered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FACULTY: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  <w:r w:rsidRPr="009E1D7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I recommend changing the format of these pages, or at least fixing alignment. It is impossible to tell whose specialties are whose.</w:t>
            </w:r>
          </w:p>
          <w:p w:rsidR="009E1D77" w:rsidRPr="009E1D77" w:rsidRDefault="009E1D77" w:rsidP="00FF169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C3FD3" w:rsidRDefault="00AC3FD3"/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91370"/>
    <w:rsid w:val="000E305D"/>
    <w:rsid w:val="001537DC"/>
    <w:rsid w:val="001C1374"/>
    <w:rsid w:val="002E1E68"/>
    <w:rsid w:val="00357D5A"/>
    <w:rsid w:val="003D6761"/>
    <w:rsid w:val="006F2C98"/>
    <w:rsid w:val="007845C9"/>
    <w:rsid w:val="007F13E5"/>
    <w:rsid w:val="0084029B"/>
    <w:rsid w:val="008A3787"/>
    <w:rsid w:val="009159C7"/>
    <w:rsid w:val="00941C90"/>
    <w:rsid w:val="009E1D77"/>
    <w:rsid w:val="00AB2F83"/>
    <w:rsid w:val="00AC3FD3"/>
    <w:rsid w:val="00B544C8"/>
    <w:rsid w:val="00B87124"/>
    <w:rsid w:val="00BD2934"/>
    <w:rsid w:val="00D82192"/>
    <w:rsid w:val="00E41D8A"/>
    <w:rsid w:val="00E70D7B"/>
    <w:rsid w:val="00F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e.stust.edu.tw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>User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2016-11-21T02:01:00Z</dcterms:created>
  <dcterms:modified xsi:type="dcterms:W3CDTF">2016-11-21T02:01:00Z</dcterms:modified>
</cp:coreProperties>
</file>