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Default="001C1374"/>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5"/>
        <w:gridCol w:w="1006"/>
        <w:gridCol w:w="328"/>
        <w:gridCol w:w="641"/>
        <w:gridCol w:w="2346"/>
        <w:gridCol w:w="11028"/>
      </w:tblGrid>
      <w:tr w:rsidR="008747B4" w:rsidRPr="00895A4A" w:rsidTr="003A564F">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序號</w:t>
            </w:r>
          </w:p>
        </w:tc>
        <w:tc>
          <w:tcPr>
            <w:tcW w:w="1006" w:type="dxa"/>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hd w:val="clear" w:color="auto" w:fill="9BC2E6"/>
              </w:rPr>
              <w:t>類別</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rsidR="00AC3FD3" w:rsidRPr="00895A4A" w:rsidRDefault="00AC3FD3" w:rsidP="00FF1690">
            <w:pPr>
              <w:jc w:val="center"/>
              <w:rPr>
                <w:rFonts w:ascii="Times New Roman" w:hAnsi="Times New Roman" w:cs="Times New Roman"/>
              </w:rPr>
            </w:pPr>
            <w:r w:rsidRPr="00895A4A">
              <w:rPr>
                <w:rFonts w:ascii="Times New Roman" w:eastAsia="Gungsuh" w:hAnsi="Times New Roman" w:cs="Times New Roman"/>
                <w:b/>
                <w:sz w:val="20"/>
                <w:szCs w:val="20"/>
                <w:shd w:val="clear" w:color="auto" w:fill="9BC2E6"/>
              </w:rPr>
              <w:t>英文網站檢核</w:t>
            </w:r>
          </w:p>
        </w:tc>
      </w:tr>
      <w:tr w:rsidR="00B6011B" w:rsidRPr="00895A4A" w:rsidTr="003A564F">
        <w:tc>
          <w:tcPr>
            <w:tcW w:w="0" w:type="auto"/>
            <w:shd w:val="clear" w:color="auto" w:fill="auto"/>
            <w:tcMar>
              <w:top w:w="100" w:type="dxa"/>
              <w:left w:w="20" w:type="dxa"/>
              <w:bottom w:w="100" w:type="dxa"/>
              <w:right w:w="20" w:type="dxa"/>
            </w:tcMar>
          </w:tcPr>
          <w:p w:rsidR="00B6011B" w:rsidRDefault="00B6011B" w:rsidP="00FF1690">
            <w:pPr>
              <w:jc w:val="center"/>
            </w:pPr>
            <w:r>
              <w:rPr>
                <w:rFonts w:ascii="Times New Roman" w:eastAsia="Times New Roman" w:hAnsi="Times New Roman" w:cs="Times New Roman"/>
              </w:rPr>
              <w:t>30</w:t>
            </w:r>
          </w:p>
        </w:tc>
        <w:tc>
          <w:tcPr>
            <w:tcW w:w="1006" w:type="dxa"/>
            <w:shd w:val="clear" w:color="auto" w:fill="auto"/>
            <w:tcMar>
              <w:top w:w="100" w:type="dxa"/>
              <w:left w:w="20" w:type="dxa"/>
              <w:bottom w:w="100" w:type="dxa"/>
              <w:right w:w="20" w:type="dxa"/>
            </w:tcMar>
          </w:tcPr>
          <w:p w:rsidR="00B6011B" w:rsidRDefault="00B6011B" w:rsidP="00FF1690">
            <w:pPr>
              <w:jc w:val="center"/>
            </w:pPr>
            <w:r>
              <w:rPr>
                <w:rFonts w:ascii="Times New Roman" w:eastAsia="Times New Roman" w:hAnsi="Times New Roman" w:cs="Times New Roman"/>
              </w:rPr>
              <w:t>Neil</w:t>
            </w:r>
          </w:p>
        </w:tc>
        <w:tc>
          <w:tcPr>
            <w:tcW w:w="0" w:type="auto"/>
            <w:shd w:val="clear" w:color="auto" w:fill="auto"/>
            <w:tcMar>
              <w:top w:w="100" w:type="dxa"/>
              <w:left w:w="20" w:type="dxa"/>
              <w:bottom w:w="100" w:type="dxa"/>
              <w:right w:w="20" w:type="dxa"/>
            </w:tcMar>
          </w:tcPr>
          <w:p w:rsidR="00B6011B" w:rsidRDefault="00B6011B" w:rsidP="00FF1690">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rsidR="00B6011B" w:rsidRDefault="00B6011B" w:rsidP="00FF1690">
            <w:r>
              <w:rPr>
                <w:rFonts w:ascii="Gungsuh" w:eastAsia="Gungsuh" w:hAnsi="Gungsuh" w:cs="Gungsuh"/>
              </w:rPr>
              <w:t>應用英語系</w:t>
            </w:r>
          </w:p>
        </w:tc>
        <w:tc>
          <w:tcPr>
            <w:tcW w:w="0" w:type="auto"/>
            <w:shd w:val="clear" w:color="auto" w:fill="auto"/>
            <w:tcMar>
              <w:top w:w="100" w:type="dxa"/>
              <w:left w:w="20" w:type="dxa"/>
              <w:bottom w:w="100" w:type="dxa"/>
              <w:right w:w="20" w:type="dxa"/>
            </w:tcMar>
          </w:tcPr>
          <w:p w:rsidR="00B6011B" w:rsidRDefault="00B6011B" w:rsidP="00FF1690">
            <w:pPr>
              <w:widowControl w:val="0"/>
            </w:pPr>
            <w:hyperlink r:id="rId8">
              <w:r>
                <w:rPr>
                  <w:rFonts w:ascii="Times New Roman" w:eastAsia="Times New Roman" w:hAnsi="Times New Roman" w:cs="Times New Roman"/>
                  <w:color w:val="0563C1"/>
                  <w:sz w:val="20"/>
                  <w:szCs w:val="20"/>
                  <w:u w:val="single"/>
                </w:rPr>
                <w:t>http://english.stust.e</w:t>
              </w:r>
              <w:bookmarkStart w:id="0" w:name="_GoBack"/>
              <w:bookmarkEnd w:id="0"/>
              <w:r>
                <w:rPr>
                  <w:rFonts w:ascii="Times New Roman" w:eastAsia="Times New Roman" w:hAnsi="Times New Roman" w:cs="Times New Roman"/>
                  <w:color w:val="0563C1"/>
                  <w:sz w:val="20"/>
                  <w:szCs w:val="20"/>
                  <w:u w:val="single"/>
                </w:rPr>
                <w:t>du.tw/en</w:t>
              </w:r>
            </w:hyperlink>
          </w:p>
        </w:tc>
        <w:tc>
          <w:tcPr>
            <w:tcW w:w="0" w:type="auto"/>
            <w:shd w:val="clear" w:color="auto" w:fill="auto"/>
            <w:tcMar>
              <w:top w:w="100" w:type="dxa"/>
              <w:left w:w="20" w:type="dxa"/>
              <w:bottom w:w="100" w:type="dxa"/>
              <w:right w:w="20" w:type="dxa"/>
            </w:tcMar>
          </w:tcPr>
          <w:p w:rsidR="00B6011B" w:rsidRDefault="00B6011B" w:rsidP="00FF1690">
            <w:pPr>
              <w:widowControl w:val="0"/>
            </w:pPr>
            <w:r>
              <w:rPr>
                <w:rFonts w:ascii="Gungsuh" w:eastAsia="Gungsuh" w:hAnsi="Gungsuh" w:cs="Gungsuh"/>
                <w:sz w:val="20"/>
                <w:szCs w:val="20"/>
              </w:rPr>
              <w:t xml:space="preserve">　History</w:t>
            </w:r>
          </w:p>
          <w:p w:rsidR="00B6011B" w:rsidRDefault="00B6011B" w:rsidP="00FF1690">
            <w:pPr>
              <w:widowControl w:val="0"/>
            </w:pPr>
            <w:r>
              <w:rPr>
                <w:rFonts w:ascii="Times New Roman" w:eastAsia="Times New Roman" w:hAnsi="Times New Roman" w:cs="Times New Roman"/>
                <w:sz w:val="20"/>
                <w:szCs w:val="20"/>
              </w:rPr>
              <w:t>Introduction and History</w:t>
            </w:r>
          </w:p>
          <w:p w:rsidR="00B6011B" w:rsidRDefault="00B6011B" w:rsidP="00FF1690">
            <w:pPr>
              <w:widowControl w:val="0"/>
            </w:pPr>
            <w:r>
              <w:rPr>
                <w:rFonts w:ascii="Times New Roman" w:eastAsia="Times New Roman" w:hAnsi="Times New Roman" w:cs="Times New Roman"/>
                <w:sz w:val="20"/>
                <w:szCs w:val="20"/>
              </w:rPr>
              <w:t>If you want to improve English, this is the place to come. Our dynamic department boasts a large intake of students and ranks as one of the top Applied English departments in the country.</w:t>
            </w:r>
          </w:p>
          <w:p w:rsidR="00B6011B" w:rsidRDefault="00B6011B" w:rsidP="00FF1690">
            <w:pPr>
              <w:widowControl w:val="0"/>
            </w:pPr>
            <w:r>
              <w:rPr>
                <w:rFonts w:ascii="Times New Roman" w:eastAsia="Times New Roman" w:hAnsi="Times New Roman" w:cs="Times New Roman"/>
                <w:sz w:val="20"/>
                <w:szCs w:val="20"/>
              </w:rPr>
              <w:t>Originally established in 1994 as Applied Foreign Languages, the English and Japanese strands separated in 1998.The current Applied English Department offers not only a great choice of foreign languages on the curriculum, including English, Spanish, French, German, Russian, Thai and Japanese, but a wide variety of disciplines, as far ranging as English Teaching to Philosophy or Literature to International Trade.</w:t>
            </w:r>
          </w:p>
          <w:p w:rsidR="00B6011B" w:rsidRDefault="00B6011B" w:rsidP="00FF1690">
            <w:pPr>
              <w:widowControl w:val="0"/>
            </w:pPr>
            <w:r>
              <w:rPr>
                <w:rFonts w:ascii="Times New Roman" w:eastAsia="Times New Roman" w:hAnsi="Times New Roman" w:cs="Times New Roman"/>
                <w:sz w:val="20"/>
                <w:szCs w:val="20"/>
              </w:rPr>
              <w:t>The multi-talented faculty share in common an enthusiastic approach to education and always encourage a positive attitude to learning.</w:t>
            </w:r>
          </w:p>
          <w:p w:rsidR="00B6011B" w:rsidRDefault="00B6011B" w:rsidP="00FF1690">
            <w:pPr>
              <w:widowControl w:val="0"/>
            </w:pPr>
            <w:r>
              <w:rPr>
                <w:rFonts w:ascii="Times New Roman" w:eastAsia="Times New Roman" w:hAnsi="Times New Roman" w:cs="Times New Roman"/>
                <w:sz w:val="20"/>
                <w:szCs w:val="20"/>
              </w:rPr>
              <w:t>Graduate Program</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Objective</w:t>
            </w:r>
          </w:p>
          <w:p w:rsidR="00B6011B" w:rsidRDefault="00B6011B" w:rsidP="00FF1690">
            <w:pPr>
              <w:widowControl w:val="0"/>
            </w:pPr>
            <w:r>
              <w:rPr>
                <w:rFonts w:ascii="Times New Roman" w:eastAsia="Times New Roman" w:hAnsi="Times New Roman" w:cs="Times New Roman"/>
                <w:sz w:val="20"/>
                <w:szCs w:val="20"/>
              </w:rPr>
              <w:t>The graduate program aims to equip MA students with specific language skills and specialized knowledge for their future so that they will have the ability to adapt to a variety of fields, and choose from careers as diverse as international trade, business management, human resources, translation, or English teaching.</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Curriculum Features</w:t>
            </w:r>
          </w:p>
          <w:p w:rsidR="00B6011B" w:rsidRDefault="00B6011B" w:rsidP="00FF1690">
            <w:pPr>
              <w:widowControl w:val="0"/>
            </w:pPr>
            <w:r>
              <w:rPr>
                <w:rFonts w:ascii="Times New Roman" w:eastAsia="Times New Roman" w:hAnsi="Times New Roman" w:cs="Times New Roman"/>
                <w:sz w:val="20"/>
                <w:szCs w:val="20"/>
              </w:rPr>
              <w:t>1. Equal emphasis on theoretical and practical aspects</w:t>
            </w:r>
          </w:p>
          <w:p w:rsidR="00B6011B" w:rsidRDefault="00B6011B" w:rsidP="00FF1690">
            <w:pPr>
              <w:widowControl w:val="0"/>
            </w:pPr>
            <w:r>
              <w:rPr>
                <w:rFonts w:ascii="Times New Roman" w:eastAsia="Times New Roman" w:hAnsi="Times New Roman" w:cs="Times New Roman"/>
                <w:sz w:val="20"/>
                <w:szCs w:val="20"/>
              </w:rPr>
              <w:t>2. Internationalization: students in the overseas group have to study abroad as exchange students for at least one year.</w:t>
            </w:r>
          </w:p>
          <w:p w:rsidR="00B6011B" w:rsidRDefault="00B6011B" w:rsidP="00FF1690">
            <w:pPr>
              <w:widowControl w:val="0"/>
            </w:pPr>
            <w:r>
              <w:rPr>
                <w:rFonts w:ascii="Times New Roman" w:eastAsia="Times New Roman" w:hAnsi="Times New Roman" w:cs="Times New Roman"/>
                <w:sz w:val="20"/>
                <w:szCs w:val="20"/>
              </w:rPr>
              <w:t>3. Meeting the needs of various sectors in the industries</w:t>
            </w:r>
          </w:p>
          <w:p w:rsidR="00B6011B" w:rsidRDefault="00B6011B" w:rsidP="00FF1690">
            <w:pPr>
              <w:widowControl w:val="0"/>
            </w:pPr>
            <w:r>
              <w:rPr>
                <w:rFonts w:ascii="Times New Roman" w:eastAsia="Times New Roman" w:hAnsi="Times New Roman" w:cs="Times New Roman"/>
                <w:sz w:val="20"/>
                <w:szCs w:val="20"/>
              </w:rPr>
              <w:t xml:space="preserve">4. English requirements for program completion: the regular MA students must score no less than 560 (the paper-based TOEFL), 220(CBT), 83(IBT),or 780(TOEIC), or must pass the second stage of the high intermediate level in GEPT or other equivalent scores in </w:t>
            </w:r>
            <w:r>
              <w:rPr>
                <w:rFonts w:ascii="Times New Roman" w:eastAsia="Times New Roman" w:hAnsi="Times New Roman" w:cs="Times New Roman"/>
                <w:sz w:val="20"/>
                <w:szCs w:val="20"/>
              </w:rPr>
              <w:lastRenderedPageBreak/>
              <w:t>other aligned tests; the weekend in-service MA students must meet similar expectations in the following tests and their respective scores: the paper-based TOEFL,540;CBT,207; IBT,76;TOEIC,760.</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Program Information</w:t>
            </w:r>
          </w:p>
          <w:p w:rsidR="00B6011B" w:rsidRDefault="00B6011B" w:rsidP="00FF1690">
            <w:pPr>
              <w:widowControl w:val="0"/>
            </w:pPr>
            <w:r>
              <w:rPr>
                <w:rFonts w:ascii="Times New Roman" w:eastAsia="Times New Roman" w:hAnsi="Times New Roman" w:cs="Times New Roman"/>
                <w:sz w:val="20"/>
                <w:szCs w:val="20"/>
              </w:rPr>
              <w:t>There are two strands in the graduate curriculum: Teaching English as a Foreign Language (TEFL) and Business Communications.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For the TEFL students, the following courses are offered: Research Methods, Advanced English Writing, Methodology in TEFL, Linguistics and Language Teaching, Contrastive Analysis, Classroom Interaction, Statistics, Seminar in Reading Research and Instruction, Language Testing and Assessment, Sociolinguistics, Second Language Acquisition, Discourse Analysis, and Independent Study.</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For the Business Communications students, the following courses are offered: Research Methods, Advanced English Writing, Translating, Interpreting, Speech and Business Briefing, Communication and Negotiation, Statistics, and Independent Study.</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Employment opportunities</w:t>
            </w:r>
          </w:p>
          <w:p w:rsidR="00B6011B" w:rsidRDefault="00B6011B" w:rsidP="00FF1690">
            <w:pPr>
              <w:widowControl w:val="0"/>
            </w:pPr>
            <w:r>
              <w:rPr>
                <w:rFonts w:ascii="Times New Roman" w:eastAsia="Times New Roman" w:hAnsi="Times New Roman" w:cs="Times New Roman"/>
                <w:sz w:val="20"/>
                <w:szCs w:val="20"/>
              </w:rPr>
              <w:t xml:space="preserve">Graduates can choose from many English-related jobs based on their interests and individual specializations.  Possible positions include language teachers, economics and foreign trade experts, interpreters, mass media personnel, </w:t>
            </w:r>
            <w:r>
              <w:rPr>
                <w:rFonts w:ascii="Times New Roman" w:eastAsia="Times New Roman" w:hAnsi="Times New Roman" w:cs="Times New Roman"/>
                <w:color w:val="FF0000"/>
                <w:sz w:val="20"/>
                <w:szCs w:val="20"/>
              </w:rPr>
              <w:t xml:space="preserve">and </w:t>
            </w:r>
            <w:r>
              <w:rPr>
                <w:rFonts w:ascii="Times New Roman" w:eastAsia="Times New Roman" w:hAnsi="Times New Roman" w:cs="Times New Roman"/>
                <w:sz w:val="20"/>
                <w:szCs w:val="20"/>
              </w:rPr>
              <w:t>English secretaries.</w:t>
            </w:r>
          </w:p>
          <w:p w:rsidR="00B6011B" w:rsidRDefault="00B6011B" w:rsidP="00FF1690">
            <w:pPr>
              <w:widowControl w:val="0"/>
            </w:pPr>
            <w:r>
              <w:rPr>
                <w:rFonts w:ascii="Times New Roman" w:eastAsia="Times New Roman" w:hAnsi="Times New Roman" w:cs="Times New Roman"/>
                <w:sz w:val="20"/>
                <w:szCs w:val="20"/>
              </w:rPr>
              <w:t>Undergraduate Program</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Undergraduate Program</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Objective</w:t>
            </w:r>
          </w:p>
          <w:p w:rsidR="00B6011B" w:rsidRDefault="00B6011B" w:rsidP="00FF1690">
            <w:pPr>
              <w:widowControl w:val="0"/>
            </w:pPr>
            <w:r>
              <w:rPr>
                <w:rFonts w:ascii="Times New Roman" w:eastAsia="Times New Roman" w:hAnsi="Times New Roman" w:cs="Times New Roman"/>
                <w:sz w:val="20"/>
                <w:szCs w:val="20"/>
              </w:rPr>
              <w:t>The department aims primarily at helping students acquire a high level of English proficiency. Through the cooperation between the university and various industrial sectors, domestic and overseas resources are integrated for helping students improve their English proficiency. In addition, the undergraduate program also works with the university’s Teacher Education Center to train English teachers.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Curriculum Features</w:t>
            </w:r>
          </w:p>
          <w:p w:rsidR="00B6011B" w:rsidRDefault="00B6011B" w:rsidP="00FF1690">
            <w:pPr>
              <w:widowControl w:val="0"/>
            </w:pPr>
            <w:r>
              <w:rPr>
                <w:rFonts w:ascii="Times New Roman" w:eastAsia="Times New Roman" w:hAnsi="Times New Roman" w:cs="Times New Roman"/>
                <w:sz w:val="20"/>
                <w:szCs w:val="20"/>
              </w:rPr>
              <w:t>The undergraduate curriculum centers on two strands: Teaching English as a Foreign Language (TEFL) and Business English.</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lastRenderedPageBreak/>
              <w:t xml:space="preserve">To increase competitiveness in students’ future careers, specialized core subjects are carefully designed while further practical training is carried out and career-related programs are reinforced. Meanwhile, to promote language learning, the following aspects are particularly emphasized: audio-visual instruction, computer assisted language learning, cross-cultural distance learning in English </w:t>
            </w:r>
            <w:proofErr w:type="gramStart"/>
            <w:r>
              <w:rPr>
                <w:rFonts w:ascii="Times New Roman" w:eastAsia="Times New Roman" w:hAnsi="Times New Roman" w:cs="Times New Roman"/>
                <w:sz w:val="20"/>
                <w:szCs w:val="20"/>
              </w:rPr>
              <w:t xml:space="preserve">with  </w:t>
            </w:r>
            <w:proofErr w:type="spellStart"/>
            <w:r>
              <w:rPr>
                <w:rFonts w:ascii="Times New Roman" w:eastAsia="Times New Roman" w:hAnsi="Times New Roman" w:cs="Times New Roman"/>
                <w:sz w:val="20"/>
                <w:szCs w:val="20"/>
              </w:rPr>
              <w:t>Waseda</w:t>
            </w:r>
            <w:proofErr w:type="spellEnd"/>
            <w:proofErr w:type="gramEnd"/>
            <w:r>
              <w:rPr>
                <w:rFonts w:ascii="Times New Roman" w:eastAsia="Times New Roman" w:hAnsi="Times New Roman" w:cs="Times New Roman"/>
                <w:sz w:val="20"/>
                <w:szCs w:val="20"/>
              </w:rPr>
              <w:t xml:space="preserve"> University of Japan, and short-term courses and English summer camps offered in other overseas sister universities. Furthermore, the department asks students to sit tests to prove that they have met the basic language requirement for graduation from the undergraduate </w:t>
            </w:r>
            <w:proofErr w:type="spellStart"/>
            <w:r>
              <w:rPr>
                <w:rFonts w:ascii="Times New Roman" w:eastAsia="Times New Roman" w:hAnsi="Times New Roman" w:cs="Times New Roman"/>
                <w:sz w:val="20"/>
                <w:szCs w:val="20"/>
              </w:rPr>
              <w:t>program.The</w:t>
            </w:r>
            <w:proofErr w:type="spellEnd"/>
            <w:r>
              <w:rPr>
                <w:rFonts w:ascii="Times New Roman" w:eastAsia="Times New Roman" w:hAnsi="Times New Roman" w:cs="Times New Roman"/>
                <w:sz w:val="20"/>
                <w:szCs w:val="20"/>
              </w:rPr>
              <w:t xml:space="preserve"> tests and their minimum score requirements are as follows: the paper-based TOEFL, 527; CBT TOEFL, 197; TOEIC, 730; IELTS, 6.5 rating; or GEPT High-Intermediate Level.</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PMingLiu" w:eastAsia="PMingLiu" w:hAnsi="PMingLiu" w:cs="PMingLiu"/>
                <w:sz w:val="20"/>
                <w:szCs w:val="20"/>
              </w:rPr>
              <w:t>■</w:t>
            </w:r>
            <w:r>
              <w:rPr>
                <w:rFonts w:ascii="Times New Roman" w:eastAsia="Times New Roman" w:hAnsi="Times New Roman" w:cs="Times New Roman"/>
                <w:sz w:val="20"/>
                <w:szCs w:val="20"/>
              </w:rPr>
              <w:t>Undergraduate Program Information</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--Two-year Undergraduate Program</w:t>
            </w:r>
          </w:p>
          <w:p w:rsidR="00B6011B" w:rsidRDefault="00B6011B" w:rsidP="00FF1690">
            <w:pPr>
              <w:widowControl w:val="0"/>
            </w:pPr>
            <w:r>
              <w:rPr>
                <w:rFonts w:ascii="Times New Roman" w:eastAsia="Times New Roman" w:hAnsi="Times New Roman" w:cs="Times New Roman"/>
                <w:sz w:val="20"/>
                <w:szCs w:val="20"/>
              </w:rPr>
              <w:t>This program admits junior college graduates majoring in English or business.  Applicants must have adequate English ability with some basic knowledge of commerce and computer skills. After being admitted to the department, students are required to take courses in two areas: 1. Advanced English Courses, including listening, speaking, reading, writing, translating, and interpreting, and 2. Courses in commercial and computer applications.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 xml:space="preserve"> --Four-year Undergraduate Program</w:t>
            </w:r>
          </w:p>
          <w:p w:rsidR="00B6011B" w:rsidRDefault="00B6011B" w:rsidP="00FF1690">
            <w:pPr>
              <w:widowControl w:val="0"/>
            </w:pPr>
            <w:r>
              <w:rPr>
                <w:rFonts w:ascii="Times New Roman" w:eastAsia="Times New Roman" w:hAnsi="Times New Roman" w:cs="Times New Roman"/>
                <w:sz w:val="20"/>
                <w:szCs w:val="20"/>
              </w:rPr>
              <w:t>This program admits senior high school or vocational school graduates. The curriculum has two modules: English Teaching, and Business English. In the first two years the curriculum is focused on the training of basic English ability and certain General Education courses. In the third and fourth years, courses in the following two areas are offered:</w:t>
            </w:r>
          </w:p>
          <w:p w:rsidR="00B6011B" w:rsidRDefault="00B6011B" w:rsidP="00FF1690">
            <w:pPr>
              <w:widowControl w:val="0"/>
            </w:pPr>
            <w:r>
              <w:rPr>
                <w:rFonts w:ascii="Times New Roman" w:eastAsia="Times New Roman" w:hAnsi="Times New Roman" w:cs="Times New Roman"/>
                <w:sz w:val="20"/>
                <w:szCs w:val="20"/>
              </w:rPr>
              <w:t>1. Courses to enhance advanced English proficiency, including listening, speaking, reading, writing, translating, and interpreting, and</w:t>
            </w:r>
          </w:p>
          <w:p w:rsidR="00B6011B" w:rsidRDefault="00B6011B" w:rsidP="00FF1690">
            <w:pPr>
              <w:widowControl w:val="0"/>
            </w:pPr>
            <w:r>
              <w:rPr>
                <w:rFonts w:ascii="Times New Roman" w:eastAsia="Times New Roman" w:hAnsi="Times New Roman" w:cs="Times New Roman"/>
                <w:sz w:val="20"/>
                <w:szCs w:val="20"/>
              </w:rPr>
              <w:t>2. Courses related to English language teaching and oral and written communications in business.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Employment Opportunities</w:t>
            </w:r>
            <w:r>
              <w:rPr>
                <w:rFonts w:ascii="PMingLiu" w:eastAsia="PMingLiu" w:hAnsi="PMingLiu" w:cs="PMingLiu"/>
                <w:sz w:val="20"/>
                <w:szCs w:val="20"/>
              </w:rPr>
              <w:t>：</w:t>
            </w:r>
          </w:p>
          <w:p w:rsidR="00B6011B" w:rsidRDefault="00B6011B" w:rsidP="00FF1690">
            <w:pPr>
              <w:widowControl w:val="0"/>
            </w:pPr>
            <w:r>
              <w:rPr>
                <w:rFonts w:ascii="Times New Roman" w:eastAsia="Times New Roman" w:hAnsi="Times New Roman" w:cs="Times New Roman"/>
                <w:sz w:val="20"/>
                <w:szCs w:val="20"/>
              </w:rPr>
              <w:t xml:space="preserve">Graduates from this department have a wide range of career options.  They can choose to work in many English-related fields, such as </w:t>
            </w:r>
            <w:r>
              <w:rPr>
                <w:rFonts w:ascii="Times New Roman" w:eastAsia="Times New Roman" w:hAnsi="Times New Roman" w:cs="Times New Roman"/>
                <w:sz w:val="20"/>
                <w:szCs w:val="20"/>
              </w:rPr>
              <w:lastRenderedPageBreak/>
              <w:t xml:space="preserve">government’s overseas offices, </w:t>
            </w:r>
            <w:r>
              <w:rPr>
                <w:rFonts w:ascii="Times New Roman" w:eastAsia="Times New Roman" w:hAnsi="Times New Roman" w:cs="Times New Roman"/>
                <w:color w:val="FF0000"/>
                <w:sz w:val="20"/>
                <w:szCs w:val="20"/>
              </w:rPr>
              <w:t xml:space="preserve">the </w:t>
            </w:r>
            <w:r>
              <w:rPr>
                <w:rFonts w:ascii="Times New Roman" w:eastAsia="Times New Roman" w:hAnsi="Times New Roman" w:cs="Times New Roman"/>
                <w:sz w:val="20"/>
                <w:szCs w:val="20"/>
              </w:rPr>
              <w:t xml:space="preserve">Bureau of International Trade, Taiwan External Trade Development Council, foreign exchange departments of domestic and overseas banks, trading companies, insurance companies, newspaper offices, broadcasting companies or TV stations, information technology companies, primary or high schools, and children’s English learning institutes.  </w:t>
            </w:r>
            <w:r>
              <w:rPr>
                <w:rFonts w:ascii="Times New Roman" w:eastAsia="Times New Roman" w:hAnsi="Times New Roman" w:cs="Times New Roman"/>
                <w:color w:val="FF0000"/>
                <w:sz w:val="20"/>
                <w:szCs w:val="20"/>
              </w:rPr>
              <w:t>P</w:t>
            </w:r>
            <w:r>
              <w:rPr>
                <w:rFonts w:ascii="Times New Roman" w:eastAsia="Times New Roman" w:hAnsi="Times New Roman" w:cs="Times New Roman"/>
                <w:sz w:val="20"/>
                <w:szCs w:val="20"/>
              </w:rPr>
              <w:t xml:space="preserve">otential positions include senior secretaries, negotiation representatives, public relations </w:t>
            </w:r>
            <w:r>
              <w:rPr>
                <w:rFonts w:ascii="Times New Roman" w:eastAsia="Times New Roman" w:hAnsi="Times New Roman" w:cs="Times New Roman"/>
                <w:color w:val="FF0000"/>
                <w:sz w:val="20"/>
                <w:szCs w:val="20"/>
              </w:rPr>
              <w:t>officials</w:t>
            </w:r>
            <w:r>
              <w:rPr>
                <w:rFonts w:ascii="Times New Roman" w:eastAsia="Times New Roman" w:hAnsi="Times New Roman" w:cs="Times New Roman"/>
                <w:sz w:val="20"/>
                <w:szCs w:val="20"/>
              </w:rPr>
              <w:t>, interpreters, and teachers.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 xml:space="preserve"> </w:t>
            </w:r>
            <w:r>
              <w:rPr>
                <w:rFonts w:ascii="PMingLiu" w:eastAsia="PMingLiu" w:hAnsi="PMingLiu" w:cs="PMingLiu"/>
                <w:sz w:val="20"/>
                <w:szCs w:val="20"/>
              </w:rPr>
              <w:t>■</w:t>
            </w:r>
            <w:r>
              <w:rPr>
                <w:rFonts w:ascii="Times New Roman" w:eastAsia="Times New Roman" w:hAnsi="Times New Roman" w:cs="Times New Roman"/>
                <w:sz w:val="20"/>
                <w:szCs w:val="20"/>
              </w:rPr>
              <w:t>Prospects</w:t>
            </w:r>
            <w:r>
              <w:rPr>
                <w:rFonts w:ascii="PMingLiu" w:eastAsia="PMingLiu" w:hAnsi="PMingLiu" w:cs="PMingLiu"/>
                <w:sz w:val="20"/>
                <w:szCs w:val="20"/>
              </w:rPr>
              <w:t>：</w:t>
            </w:r>
          </w:p>
          <w:p w:rsidR="00B6011B" w:rsidRDefault="00B6011B" w:rsidP="00FF1690">
            <w:pPr>
              <w:widowControl w:val="0"/>
            </w:pPr>
            <w:r>
              <w:rPr>
                <w:rFonts w:ascii="Times New Roman" w:eastAsia="Times New Roman" w:hAnsi="Times New Roman" w:cs="Times New Roman"/>
                <w:sz w:val="20"/>
                <w:szCs w:val="20"/>
              </w:rPr>
              <w:t>In order to give students a solid foundation in theories and practices, the department has been working toward enriching facilities and equipment, expanding cooperation with outstanding foreign and domestic universities and building partnerships with off-campus firms and institutions.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To develop students’ comprehensive English ability and enable them to apply English to business communication, coordination and translation as intermediate or advanced professionals, the department particularly stresses applied and practical courses and has set up the Center for English Service to provide small and medium enterprises an English consultation service at the same time increasing practical experience for both teachers and students.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 xml:space="preserve"> Students can build up English writing and communication competence by links with other students from sister universities in the USA, Canada, New Zealand, Australia, Japan or Korea via the internet, to more fully realize the purpose of practical English usage. Furthermore, by working with overseas sister universities, the department has established a double degree program at the bachelor and master levels, and students are also encouraged to study abroad for credit or non-credit courses.</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r>
              <w:rPr>
                <w:rFonts w:ascii="Times New Roman" w:eastAsia="Times New Roman" w:hAnsi="Times New Roman" w:cs="Times New Roman"/>
                <w:sz w:val="20"/>
                <w:szCs w:val="20"/>
              </w:rPr>
              <w:t xml:space="preserve"> </w:t>
            </w:r>
          </w:p>
          <w:p w:rsidR="00B6011B" w:rsidRDefault="00B6011B" w:rsidP="00FF1690">
            <w:pPr>
              <w:widowControl w:val="0"/>
            </w:pPr>
          </w:p>
        </w:tc>
      </w:tr>
    </w:tbl>
    <w:p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1B3" w:rsidRDefault="005B51B3" w:rsidP="007251B0">
      <w:pPr>
        <w:spacing w:line="240" w:lineRule="auto"/>
      </w:pPr>
      <w:r>
        <w:separator/>
      </w:r>
    </w:p>
  </w:endnote>
  <w:endnote w:type="continuationSeparator" w:id="0">
    <w:p w:rsidR="005B51B3" w:rsidRDefault="005B51B3"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1B3" w:rsidRDefault="005B51B3" w:rsidP="007251B0">
      <w:pPr>
        <w:spacing w:line="240" w:lineRule="auto"/>
      </w:pPr>
      <w:r>
        <w:separator/>
      </w:r>
    </w:p>
  </w:footnote>
  <w:footnote w:type="continuationSeparator" w:id="0">
    <w:p w:rsidR="005B51B3" w:rsidRDefault="005B51B3"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B4E50"/>
    <w:rsid w:val="002E1E68"/>
    <w:rsid w:val="003025F4"/>
    <w:rsid w:val="00336ADC"/>
    <w:rsid w:val="00357D5A"/>
    <w:rsid w:val="003A564F"/>
    <w:rsid w:val="003B76B7"/>
    <w:rsid w:val="003D6761"/>
    <w:rsid w:val="00450F43"/>
    <w:rsid w:val="004A47A2"/>
    <w:rsid w:val="004C72E5"/>
    <w:rsid w:val="004D0E99"/>
    <w:rsid w:val="00532F98"/>
    <w:rsid w:val="0055708F"/>
    <w:rsid w:val="005B51B3"/>
    <w:rsid w:val="006B78E8"/>
    <w:rsid w:val="006F2C98"/>
    <w:rsid w:val="007251B0"/>
    <w:rsid w:val="007560D5"/>
    <w:rsid w:val="007845C9"/>
    <w:rsid w:val="007B5E01"/>
    <w:rsid w:val="007F13E5"/>
    <w:rsid w:val="0084029B"/>
    <w:rsid w:val="008747B4"/>
    <w:rsid w:val="00895A4A"/>
    <w:rsid w:val="008A3787"/>
    <w:rsid w:val="009159C7"/>
    <w:rsid w:val="00941C90"/>
    <w:rsid w:val="00A43D31"/>
    <w:rsid w:val="00AB2F83"/>
    <w:rsid w:val="00AC3FD3"/>
    <w:rsid w:val="00B544C8"/>
    <w:rsid w:val="00B6011B"/>
    <w:rsid w:val="00B87124"/>
    <w:rsid w:val="00C654F7"/>
    <w:rsid w:val="00C932C2"/>
    <w:rsid w:val="00CC7E55"/>
    <w:rsid w:val="00D4167B"/>
    <w:rsid w:val="00D82192"/>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stust.edu.tw/e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1125</Words>
  <Characters>6413</Characters>
  <Application>Microsoft Office Word</Application>
  <DocSecurity>0</DocSecurity>
  <Lines>53</Lines>
  <Paragraphs>15</Paragraphs>
  <ScaleCrop>false</ScaleCrop>
  <Company>User</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2016-11-21T02:35:00Z</dcterms:created>
  <dcterms:modified xsi:type="dcterms:W3CDTF">2016-11-21T02:35:00Z</dcterms:modified>
</cp:coreProperties>
</file>