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Pr="00DF3B6F" w:rsidRDefault="001C1374">
      <w:pPr>
        <w:rPr>
          <w:rFonts w:ascii="Times New Roman" w:hAnsi="Times New Roman" w:cs="Times New Roman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71"/>
        <w:gridCol w:w="1006"/>
        <w:gridCol w:w="581"/>
        <w:gridCol w:w="848"/>
        <w:gridCol w:w="2895"/>
        <w:gridCol w:w="9773"/>
      </w:tblGrid>
      <w:tr w:rsidR="008747B4" w:rsidRPr="00DF3B6F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DF3B6F" w:rsidRDefault="00AC3FD3" w:rsidP="00FF1690">
            <w:pPr>
              <w:jc w:val="center"/>
              <w:rPr>
                <w:rFonts w:ascii="Times New Roman" w:hAnsi="Times New Roman" w:cs="Times New Roman"/>
              </w:rPr>
            </w:pPr>
            <w:r w:rsidRPr="00DF3B6F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A95FED" w:rsidRPr="00DF3B6F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5FED" w:rsidRDefault="00A95FED" w:rsidP="004B74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5FED" w:rsidRDefault="00A95FED" w:rsidP="004B74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Andrew Gerrard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5FED" w:rsidRDefault="00A95FED" w:rsidP="004B74EA">
            <w:pPr>
              <w:jc w:val="center"/>
            </w:pPr>
            <w:r>
              <w:rPr>
                <w:rFonts w:ascii="Gungsuh" w:eastAsia="Gungsuh" w:hAnsi="Gungsuh" w:cs="Gungsuh"/>
              </w:rPr>
              <w:t>行政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5FED" w:rsidRDefault="00A95FED" w:rsidP="004B74EA">
            <w:r>
              <w:rPr>
                <w:rFonts w:ascii="Gungsuh" w:eastAsia="Gungsuh" w:hAnsi="Gungsuh" w:cs="Gungsuh"/>
              </w:rPr>
              <w:t>會計室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5FED" w:rsidRDefault="00A95FED" w:rsidP="004B74EA">
            <w:pPr>
              <w:widowControl w:val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http://account.stust.edu.tw/e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1.Certificate Inspection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2.Leave of Absence Application Processing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3.Processing School Withdrawals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4. Refund &amp; Compensation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5.Process the General Books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6.Year-End Accounting of Revenue and Expenditures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7.Posting to the Books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8.Transaction Documentation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9.Assist Year-End Accounting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10Explaining the Differences Between the Budget Year-End Accounting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11.Budgeted Funds Distribution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12.Classifying purchase Requests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13.Procurement Data Entry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14.Processing Applications for Ministry of Educations Loan Subsidies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15. Handle Subsidies for Overall Development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16.Submit Monthly Update to Main Database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17. Managing Grant &amp; Subsidy Accounts and Supervision Information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18. Distribute Funds of Faculty and Staffs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19. Distribute Funds to Students</w:t>
            </w:r>
          </w:p>
          <w:p w:rsidR="00A95FED" w:rsidRDefault="00A95FED" w:rsidP="004B74EA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20. Handle Taiwan Projects Granted by the Science council</w:t>
            </w:r>
          </w:p>
        </w:tc>
      </w:tr>
    </w:tbl>
    <w:p w:rsidR="00AC3FD3" w:rsidRPr="00DF3B6F" w:rsidRDefault="00AC3FD3">
      <w:pPr>
        <w:rPr>
          <w:rFonts w:ascii="Times New Roman" w:hAnsi="Times New Roman" w:cs="Times New Roman"/>
        </w:rPr>
      </w:pPr>
    </w:p>
    <w:sectPr w:rsidR="00AC3FD3" w:rsidRPr="00DF3B6F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C3" w:rsidRDefault="00B31BC3" w:rsidP="007251B0">
      <w:pPr>
        <w:spacing w:line="240" w:lineRule="auto"/>
      </w:pPr>
      <w:r>
        <w:separator/>
      </w:r>
    </w:p>
  </w:endnote>
  <w:endnote w:type="continuationSeparator" w:id="0">
    <w:p w:rsidR="00B31BC3" w:rsidRDefault="00B31BC3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C3" w:rsidRDefault="00B31BC3" w:rsidP="007251B0">
      <w:pPr>
        <w:spacing w:line="240" w:lineRule="auto"/>
      </w:pPr>
      <w:r>
        <w:separator/>
      </w:r>
    </w:p>
  </w:footnote>
  <w:footnote w:type="continuationSeparator" w:id="0">
    <w:p w:rsidR="00B31BC3" w:rsidRDefault="00B31BC3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B4E50"/>
    <w:rsid w:val="002E1E68"/>
    <w:rsid w:val="003025F4"/>
    <w:rsid w:val="00336ADC"/>
    <w:rsid w:val="00357D5A"/>
    <w:rsid w:val="0039708F"/>
    <w:rsid w:val="003A564F"/>
    <w:rsid w:val="003B76B7"/>
    <w:rsid w:val="003D6761"/>
    <w:rsid w:val="00450F43"/>
    <w:rsid w:val="004A47A2"/>
    <w:rsid w:val="004C72E5"/>
    <w:rsid w:val="004D0E99"/>
    <w:rsid w:val="00532F98"/>
    <w:rsid w:val="0055708F"/>
    <w:rsid w:val="00576D98"/>
    <w:rsid w:val="006B78E8"/>
    <w:rsid w:val="006F2C98"/>
    <w:rsid w:val="007251B0"/>
    <w:rsid w:val="007560D5"/>
    <w:rsid w:val="007845C9"/>
    <w:rsid w:val="007B5E01"/>
    <w:rsid w:val="007F13E5"/>
    <w:rsid w:val="0084029B"/>
    <w:rsid w:val="008747B4"/>
    <w:rsid w:val="00895A4A"/>
    <w:rsid w:val="008A3787"/>
    <w:rsid w:val="009159C7"/>
    <w:rsid w:val="00941C90"/>
    <w:rsid w:val="00A43D31"/>
    <w:rsid w:val="00A95FED"/>
    <w:rsid w:val="00AB2F83"/>
    <w:rsid w:val="00AC3FD3"/>
    <w:rsid w:val="00B31BC3"/>
    <w:rsid w:val="00B544C8"/>
    <w:rsid w:val="00B87124"/>
    <w:rsid w:val="00C654F7"/>
    <w:rsid w:val="00C91918"/>
    <w:rsid w:val="00C932C2"/>
    <w:rsid w:val="00CC7E55"/>
    <w:rsid w:val="00D4167B"/>
    <w:rsid w:val="00D82192"/>
    <w:rsid w:val="00DF3B6F"/>
    <w:rsid w:val="00E41D8A"/>
    <w:rsid w:val="00E70D7B"/>
    <w:rsid w:val="00EA1EDA"/>
    <w:rsid w:val="00F03EEF"/>
    <w:rsid w:val="00FE541E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User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2016-11-22T01:47:00Z</dcterms:created>
  <dcterms:modified xsi:type="dcterms:W3CDTF">2016-11-22T01:47:00Z</dcterms:modified>
</cp:coreProperties>
</file>