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1B1406" w:rsidRPr="001B1406" w:rsidTr="001B1406">
        <w:tc>
          <w:tcPr>
            <w:tcW w:w="8362" w:type="dxa"/>
            <w:shd w:val="clear" w:color="auto" w:fill="auto"/>
          </w:tcPr>
          <w:p w:rsidR="001B1406" w:rsidRPr="006C3D8C" w:rsidRDefault="001B1406">
            <w:pPr>
              <w:rPr>
                <w:rFonts w:ascii="標楷體" w:eastAsia="標楷體" w:hAnsi="標楷體"/>
                <w:sz w:val="48"/>
                <w:szCs w:val="48"/>
              </w:rPr>
            </w:pPr>
            <w:r w:rsidRPr="006C3D8C">
              <w:rPr>
                <w:rFonts w:ascii="標楷體" w:eastAsia="標楷體" w:hAnsi="標楷體"/>
                <w:sz w:val="48"/>
                <w:szCs w:val="48"/>
              </w:rPr>
              <w:t>工程倫理-報導心得(第</w:t>
            </w:r>
            <w:r w:rsidR="00F252D7" w:rsidRPr="006C3D8C">
              <w:rPr>
                <w:rFonts w:ascii="標楷體" w:eastAsia="標楷體" w:hAnsi="標楷體" w:hint="eastAsia"/>
                <w:sz w:val="48"/>
                <w:szCs w:val="48"/>
              </w:rPr>
              <w:t>二</w:t>
            </w:r>
            <w:r w:rsidRPr="006C3D8C">
              <w:rPr>
                <w:rFonts w:ascii="標楷體" w:eastAsia="標楷體" w:hAnsi="標楷體"/>
                <w:sz w:val="48"/>
                <w:szCs w:val="48"/>
              </w:rPr>
              <w:t>次)</w:t>
            </w:r>
          </w:p>
        </w:tc>
      </w:tr>
      <w:tr w:rsidR="001B1406" w:rsidRPr="001B1406" w:rsidTr="001B1406">
        <w:tc>
          <w:tcPr>
            <w:tcW w:w="8362" w:type="dxa"/>
            <w:shd w:val="clear" w:color="auto" w:fill="auto"/>
          </w:tcPr>
          <w:p w:rsidR="001B1406" w:rsidRPr="006C3D8C" w:rsidRDefault="001B1406" w:rsidP="000A6F88">
            <w:pPr>
              <w:rPr>
                <w:rFonts w:ascii="標楷體" w:eastAsia="標楷體" w:hAnsi="標楷體"/>
              </w:rPr>
            </w:pPr>
            <w:r w:rsidRPr="006C3D8C">
              <w:rPr>
                <w:rFonts w:ascii="標楷體" w:eastAsia="標楷體" w:hAnsi="標楷體"/>
              </w:rPr>
              <w:t>標題：</w:t>
            </w:r>
            <w:r w:rsidR="000A6F88" w:rsidRPr="006C3D8C">
              <w:rPr>
                <w:rFonts w:ascii="標楷體" w:eastAsia="標楷體" w:hAnsi="標楷體"/>
              </w:rPr>
              <w:t xml:space="preserve"> </w:t>
            </w:r>
            <w:r w:rsidR="000A6F88" w:rsidRPr="000A6F88">
              <w:rPr>
                <w:rFonts w:ascii="標楷體" w:eastAsia="標楷體" w:hAnsi="標楷體" w:hint="eastAsia"/>
              </w:rPr>
              <w:t>工學院開門！「工程師的社會責任」待加強</w:t>
            </w:r>
          </w:p>
        </w:tc>
      </w:tr>
      <w:tr w:rsidR="001B1406" w:rsidRPr="001B1406" w:rsidTr="001B1406">
        <w:tc>
          <w:tcPr>
            <w:tcW w:w="8362" w:type="dxa"/>
            <w:shd w:val="clear" w:color="auto" w:fill="auto"/>
          </w:tcPr>
          <w:p w:rsidR="001B1406" w:rsidRPr="006C3D8C" w:rsidRDefault="001B1406">
            <w:pPr>
              <w:rPr>
                <w:rFonts w:ascii="標楷體" w:eastAsia="標楷體" w:hAnsi="標楷體"/>
              </w:rPr>
            </w:pPr>
            <w:r w:rsidRPr="006C3D8C">
              <w:rPr>
                <w:rFonts w:ascii="標楷體" w:eastAsia="標楷體" w:hAnsi="標楷體"/>
              </w:rPr>
              <w:t>班級：</w:t>
            </w:r>
            <w:r w:rsidR="00F252D7" w:rsidRPr="006C3D8C">
              <w:rPr>
                <w:rFonts w:ascii="標楷體" w:eastAsia="標楷體" w:hAnsi="標楷體" w:hint="eastAsia"/>
              </w:rPr>
              <w:t>化材三甲</w:t>
            </w:r>
          </w:p>
        </w:tc>
      </w:tr>
      <w:tr w:rsidR="001B1406" w:rsidRPr="001B1406" w:rsidTr="001B1406">
        <w:tc>
          <w:tcPr>
            <w:tcW w:w="8362" w:type="dxa"/>
            <w:shd w:val="clear" w:color="auto" w:fill="auto"/>
          </w:tcPr>
          <w:p w:rsidR="001B1406" w:rsidRPr="006C3D8C" w:rsidRDefault="001B1406">
            <w:pPr>
              <w:rPr>
                <w:rFonts w:ascii="標楷體" w:eastAsia="標楷體" w:hAnsi="標楷體"/>
              </w:rPr>
            </w:pPr>
            <w:r w:rsidRPr="006C3D8C">
              <w:rPr>
                <w:rFonts w:ascii="標楷體" w:eastAsia="標楷體" w:hAnsi="標楷體"/>
              </w:rPr>
              <w:t>學號：</w:t>
            </w:r>
            <w:r w:rsidR="00EC5AD3" w:rsidRPr="006C3D8C">
              <w:rPr>
                <w:rFonts w:ascii="標楷體" w:eastAsia="標楷體" w:hAnsi="標楷體" w:hint="eastAsia"/>
              </w:rPr>
              <w:t>4A340</w:t>
            </w:r>
            <w:r w:rsidR="000A6F88">
              <w:rPr>
                <w:rFonts w:ascii="標楷體" w:eastAsia="標楷體" w:hAnsi="標楷體" w:hint="eastAsia"/>
              </w:rPr>
              <w:t>007</w:t>
            </w:r>
          </w:p>
        </w:tc>
      </w:tr>
      <w:tr w:rsidR="001B1406" w:rsidRPr="001B1406" w:rsidTr="001B1406">
        <w:tc>
          <w:tcPr>
            <w:tcW w:w="8362" w:type="dxa"/>
            <w:shd w:val="clear" w:color="auto" w:fill="auto"/>
          </w:tcPr>
          <w:p w:rsidR="001B1406" w:rsidRPr="006C3D8C" w:rsidRDefault="001B1406" w:rsidP="00EC5AD3">
            <w:pPr>
              <w:rPr>
                <w:rFonts w:ascii="標楷體" w:eastAsia="標楷體" w:hAnsi="標楷體"/>
              </w:rPr>
            </w:pPr>
            <w:r w:rsidRPr="006C3D8C">
              <w:rPr>
                <w:rFonts w:ascii="標楷體" w:eastAsia="標楷體" w:hAnsi="標楷體"/>
              </w:rPr>
              <w:t>姓名：</w:t>
            </w:r>
            <w:r w:rsidR="000A6F88">
              <w:rPr>
                <w:rFonts w:ascii="標楷體" w:eastAsia="標楷體" w:hAnsi="標楷體" w:hint="eastAsia"/>
              </w:rPr>
              <w:t>林亭均</w:t>
            </w:r>
          </w:p>
        </w:tc>
      </w:tr>
      <w:tr w:rsidR="001B1406" w:rsidRPr="001B1406" w:rsidTr="001B1406">
        <w:trPr>
          <w:trHeight w:val="11673"/>
        </w:trPr>
        <w:tc>
          <w:tcPr>
            <w:tcW w:w="8362" w:type="dxa"/>
            <w:shd w:val="clear" w:color="auto" w:fill="auto"/>
          </w:tcPr>
          <w:p w:rsidR="000A6F88" w:rsidRDefault="00591CA2" w:rsidP="000A6F88">
            <w:pPr>
              <w:pStyle w:val="Web"/>
              <w:shd w:val="clear" w:color="auto" w:fill="FFFFFF"/>
              <w:spacing w:before="0" w:beforeAutospacing="0" w:after="0" w:afterAutospacing="0" w:line="360" w:lineRule="atLeast"/>
              <w:rPr>
                <w:rFonts w:ascii="Helvetica" w:hAnsi="Helvetica" w:cs="Helvetica"/>
                <w:color w:val="000000"/>
                <w:sz w:val="27"/>
                <w:szCs w:val="27"/>
              </w:rPr>
            </w:pPr>
            <w:r>
              <w:rPr>
                <w:noProof/>
              </w:rPr>
              <w:drawing>
                <wp:inline distT="0" distB="0" distL="0" distR="0">
                  <wp:extent cx="3997960" cy="2150110"/>
                  <wp:effectExtent l="0" t="0" r="2540" b="2540"/>
                  <wp:docPr id="3" name="圖片 3" descr="http://twimg.edgesuite.net/images/ReNews/20160911/640_446cb9d64a4a442adb902e0e0c445b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wimg.edgesuite.net/images/ReNews/20160911/640_446cb9d64a4a442adb902e0e0c445b4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97960" cy="2150110"/>
                          </a:xfrm>
                          <a:prstGeom prst="rect">
                            <a:avLst/>
                          </a:prstGeom>
                          <a:noFill/>
                          <a:ln>
                            <a:noFill/>
                          </a:ln>
                        </pic:spPr>
                      </pic:pic>
                    </a:graphicData>
                  </a:graphic>
                </wp:inline>
              </w:drawing>
            </w:r>
          </w:p>
          <w:p w:rsidR="000A6F88" w:rsidRPr="00591CA2" w:rsidRDefault="000A6F88" w:rsidP="000A6F88">
            <w:pPr>
              <w:pStyle w:val="Web"/>
              <w:shd w:val="clear" w:color="auto" w:fill="FFFFFF"/>
              <w:spacing w:before="0" w:beforeAutospacing="0" w:after="0" w:afterAutospacing="0" w:line="360" w:lineRule="atLeast"/>
              <w:rPr>
                <w:rFonts w:ascii="標楷體" w:eastAsia="標楷體" w:hAnsi="標楷體" w:cs="Helvetica"/>
                <w:color w:val="000000"/>
                <w:szCs w:val="27"/>
              </w:rPr>
            </w:pPr>
            <w:r w:rsidRPr="00591CA2">
              <w:rPr>
                <w:rFonts w:ascii="標楷體" w:eastAsia="標楷體" w:hAnsi="標楷體" w:cs="Helvetica"/>
                <w:color w:val="000000"/>
                <w:szCs w:val="27"/>
              </w:rPr>
              <w:t>洪文玲、王治平／分別為國立高雄海洋科技大學造船及海洋工程系助理教授、副教授　日前台大機械系一份推甄考題，引起社會大眾對於性別、宗教、學術自由及公平性的討論，但核心的「工程師的社會責任」重要概念，卻尚未在台灣社會獲得重視，更遑論共識。</w:t>
            </w:r>
            <w:r w:rsidRPr="00591CA2">
              <w:rPr>
                <w:rFonts w:ascii="標楷體" w:eastAsia="標楷體" w:hAnsi="標楷體" w:cs="Helvetica"/>
                <w:color w:val="000000"/>
                <w:szCs w:val="27"/>
              </w:rPr>
              <w:br/>
              <w:t>工業是台灣的經濟命脈，近年社會爭議案件也多與工程有關，身為工學院中的跨領域研究者，我們希望倡議：「工學院開門！將工程與社會、工程倫理、工程教育納入運作與研究」。</w:t>
            </w:r>
            <w:r w:rsidRPr="00591CA2">
              <w:rPr>
                <w:rFonts w:ascii="標楷體" w:eastAsia="標楷體" w:hAnsi="標楷體" w:cs="Helvetica"/>
                <w:color w:val="000000"/>
                <w:szCs w:val="27"/>
              </w:rPr>
              <w:br/>
              <w:t>工程(師)與社會，當然是工程教育應當討論的主題。台灣工學院以工程教育認證提升與精進品質，讓畢業生具備世界認可之工程專業能力。依據中華工程教育學會資料，已有79所校院504系所通過認證。工程認證要求畢業生具有：「認識時事議題，了解工程技術對環境、社會及全球的影響，並培養持續學習的習慣與能力。理解及應用專業倫理，認知社會責任及尊重多元觀點。」美國工程教育認證(ABET)、日本工程教育認證 (JABEE)也都有類似的規範。</w:t>
            </w:r>
            <w:r w:rsidRPr="00591CA2">
              <w:rPr>
                <w:rFonts w:ascii="標楷體" w:eastAsia="標楷體" w:hAnsi="標楷體" w:cs="Helvetica"/>
                <w:color w:val="000000"/>
                <w:szCs w:val="27"/>
              </w:rPr>
              <w:br/>
              <w:t>要培養學生具備整合能力，必須有整合的教育系統。台灣高等教育專業區隔嚴明，工學院通常只專注於工程科學、工程技術的教學與研究，對於「非專業」、「人文社會」或「跨領域」能力，通常有賴於博雅教育為解決工學院需求的萬能救火員，工學院在「工程與社會」、「工程倫理」、「工程教育」的教學與研究參與淺薄。但目前博雅教育的人力，以及與專建立合作教學模式的現狀，都難以達成實質上的成效。</w:t>
            </w:r>
            <w:r w:rsidRPr="00591CA2">
              <w:rPr>
                <w:rFonts w:ascii="標楷體" w:eastAsia="標楷體" w:hAnsi="標楷體" w:cs="Helvetica"/>
                <w:color w:val="000000"/>
                <w:szCs w:val="27"/>
              </w:rPr>
              <w:br/>
              <w:t>醫學院較早便將跨領域教學與研究人才納入醫學院體系，醫學專業人才進入跨領域研究範圍（如科技與社會）較為多見，但跨領域納入工學院體系則是較少嘗試。</w:t>
            </w:r>
            <w:r w:rsidRPr="00591CA2">
              <w:rPr>
                <w:rFonts w:ascii="標楷體" w:eastAsia="標楷體" w:hAnsi="標楷體" w:cs="Helvetica"/>
                <w:color w:val="000000"/>
                <w:szCs w:val="27"/>
              </w:rPr>
              <w:br/>
              <w:t>台灣學界於今年3月邀請美國威斯康辛大學Sarah Pfatticher教授與日本東京</w:t>
            </w:r>
            <w:r w:rsidRPr="00591CA2">
              <w:rPr>
                <w:rFonts w:ascii="標楷體" w:eastAsia="標楷體" w:hAnsi="標楷體" w:cs="Helvetica"/>
                <w:color w:val="000000"/>
                <w:szCs w:val="27"/>
              </w:rPr>
              <w:lastRenderedPageBreak/>
              <w:t>工業大學札野順教授來台，討論工程與社會議題。兩位科學史學者長期參與工學院的工程倫理教學，Pfatteicher教授聘在土木系，研究主題是工程災難，曾出版專書討論工程專業與911；札野順教授過去10年在日本工程教育學會JSEE負責工程倫理教學的推動與教學能量培育，推動全面融滲式的工程倫理教學25年以上，去年轉任至東京工業大學，推動「工程教育博雅化」之重大改革，同時也擔任東京電力公司311災後的專業顧問。</w:t>
            </w:r>
            <w:r w:rsidRPr="00591CA2">
              <w:rPr>
                <w:rFonts w:ascii="標楷體" w:eastAsia="標楷體" w:hAnsi="標楷體" w:cs="Helvetica"/>
                <w:color w:val="000000"/>
                <w:szCs w:val="27"/>
              </w:rPr>
              <w:br/>
              <w:t>「工程與社會」、「工程倫理」與工程專業教育息息相關，國際上有許多整合發展研究與教學的團隊，台灣也有幾個小型團隊正進行中，但比起廣大的工程教育資源都屬邊緣。</w:t>
            </w:r>
            <w:r w:rsidRPr="00591CA2">
              <w:rPr>
                <w:rFonts w:ascii="標楷體" w:eastAsia="標楷體" w:hAnsi="標楷體" w:cs="Helvetica"/>
                <w:color w:val="000000"/>
                <w:szCs w:val="27"/>
              </w:rPr>
              <w:br/>
              <w:t>台灣有1/4的大學生就讀於工學院，在邁向全球取向的優質工程教育上， 應該廣納如歷史學、社會學、人類學、哲學、教育學等專業以「工程」為研究主題，同時也鼓勵工程學者跨領域，將「工程與社會」、「工程倫理」以跨領域知識論述為基礎納入「工程教育」之運作，消弭專業隔閡，促成更多的討論與合作。相信將來，工學院中對於「工程師的社會責任」，都將有深刻優質的討論。</w:t>
            </w:r>
          </w:p>
          <w:p w:rsidR="00EC5AD3" w:rsidRDefault="00EC5AD3" w:rsidP="000A6F88">
            <w:pPr>
              <w:widowControl/>
              <w:shd w:val="clear" w:color="auto" w:fill="FFFFFF"/>
              <w:spacing w:line="375" w:lineRule="atLeast"/>
              <w:rPr>
                <w:rFonts w:ascii="標楷體" w:eastAsia="標楷體" w:hAnsi="標楷體"/>
              </w:rPr>
            </w:pPr>
          </w:p>
          <w:p w:rsidR="000A6F88" w:rsidRDefault="00591CA2" w:rsidP="000A6F88">
            <w:pPr>
              <w:widowControl/>
              <w:shd w:val="clear" w:color="auto" w:fill="FFFFFF"/>
              <w:spacing w:line="375" w:lineRule="atLeast"/>
              <w:rPr>
                <w:rFonts w:ascii="標楷體" w:eastAsia="標楷體" w:hAnsi="標楷體"/>
              </w:rPr>
            </w:pPr>
            <w:hyperlink r:id="rId6" w:history="1">
              <w:r w:rsidRPr="008A05E6">
                <w:rPr>
                  <w:rStyle w:val="a4"/>
                  <w:rFonts w:ascii="標楷體" w:eastAsia="標楷體" w:hAnsi="標楷體"/>
                </w:rPr>
                <w:t>http://www.appledaily.com.tw/realtimenews/article/new/20160911/946463/</w:t>
              </w:r>
            </w:hyperlink>
          </w:p>
          <w:p w:rsidR="00591CA2" w:rsidRDefault="00591CA2" w:rsidP="000A6F88">
            <w:pPr>
              <w:widowControl/>
              <w:shd w:val="clear" w:color="auto" w:fill="FFFFFF"/>
              <w:spacing w:line="375" w:lineRule="atLeast"/>
              <w:rPr>
                <w:rFonts w:ascii="標楷體" w:eastAsia="標楷體" w:hAnsi="標楷體"/>
              </w:rPr>
            </w:pPr>
          </w:p>
          <w:p w:rsidR="000A6F88" w:rsidRDefault="000A6F88" w:rsidP="000A6F88">
            <w:pPr>
              <w:widowControl/>
              <w:shd w:val="clear" w:color="auto" w:fill="FFFFFF"/>
              <w:spacing w:line="375" w:lineRule="atLeast"/>
              <w:rPr>
                <w:rFonts w:ascii="標楷體" w:eastAsia="標楷體" w:hAnsi="標楷體"/>
              </w:rPr>
            </w:pPr>
            <w:r>
              <w:rPr>
                <w:rFonts w:ascii="標楷體" w:eastAsia="標楷體" w:hAnsi="標楷體" w:hint="eastAsia"/>
              </w:rPr>
              <w:t>心得：</w:t>
            </w:r>
          </w:p>
          <w:p w:rsidR="000A6F88" w:rsidRDefault="000A6F88" w:rsidP="000A6F88">
            <w:pPr>
              <w:widowControl/>
              <w:shd w:val="clear" w:color="auto" w:fill="FFFFFF"/>
              <w:spacing w:line="375" w:lineRule="atLeast"/>
              <w:rPr>
                <w:rFonts w:ascii="標楷體" w:eastAsia="標楷體" w:hAnsi="標楷體"/>
              </w:rPr>
            </w:pPr>
            <w:r>
              <w:rPr>
                <w:rFonts w:ascii="標楷體" w:eastAsia="標楷體" w:hAnsi="標楷體" w:hint="eastAsia"/>
              </w:rPr>
              <w:t>看完這篇覺得台灣的媒體真的看看就好。</w:t>
            </w:r>
          </w:p>
          <w:p w:rsidR="000A6F88" w:rsidRDefault="000A6F88" w:rsidP="000A6F88">
            <w:pPr>
              <w:widowControl/>
              <w:shd w:val="clear" w:color="auto" w:fill="FFFFFF"/>
              <w:spacing w:line="375" w:lineRule="atLeast"/>
              <w:rPr>
                <w:rFonts w:ascii="標楷體" w:eastAsia="標楷體" w:hAnsi="標楷體"/>
              </w:rPr>
            </w:pPr>
            <w:r>
              <w:rPr>
                <w:rFonts w:ascii="標楷體" w:eastAsia="標楷體" w:hAnsi="標楷體" w:hint="eastAsia"/>
              </w:rPr>
              <w:t>從最後一段中</w:t>
            </w:r>
            <w:r>
              <w:rPr>
                <w:rFonts w:ascii="標楷體" w:eastAsia="標楷體" w:hAnsi="標楷體"/>
              </w:rPr>
              <w:t>”</w:t>
            </w:r>
            <w:r>
              <w:rPr>
                <w:rFonts w:ascii="標楷體" w:eastAsia="標楷體" w:hAnsi="標楷體" w:hint="eastAsia"/>
              </w:rPr>
              <w:t>工程教育上，應廣納如歷史學、社會學、人類學、哲學、教育學等專也以工程為研究主題</w:t>
            </w:r>
            <w:r>
              <w:rPr>
                <w:rFonts w:ascii="標楷體" w:eastAsia="標楷體" w:hAnsi="標楷體"/>
              </w:rPr>
              <w:t>…”</w:t>
            </w:r>
          </w:p>
          <w:p w:rsidR="000A6F88" w:rsidRDefault="000A6F88" w:rsidP="000A6F88">
            <w:pPr>
              <w:widowControl/>
              <w:shd w:val="clear" w:color="auto" w:fill="FFFFFF"/>
              <w:spacing w:line="375" w:lineRule="atLeast"/>
              <w:rPr>
                <w:rFonts w:ascii="標楷體" w:eastAsia="標楷體" w:hAnsi="標楷體"/>
              </w:rPr>
            </w:pPr>
            <w:r>
              <w:rPr>
                <w:rFonts w:ascii="標楷體" w:eastAsia="標楷體" w:hAnsi="標楷體" w:hint="eastAsia"/>
              </w:rPr>
              <w:t>那為何不跟商管學院說，商管的教育上，應該學習物理學、化學與電子學等應用之商業研究主題?</w:t>
            </w:r>
          </w:p>
          <w:p w:rsidR="000A6F88" w:rsidRDefault="000A6F88" w:rsidP="000A6F88">
            <w:pPr>
              <w:widowControl/>
              <w:shd w:val="clear" w:color="auto" w:fill="FFFFFF"/>
              <w:spacing w:line="375" w:lineRule="atLeast"/>
              <w:rPr>
                <w:rFonts w:ascii="標楷體" w:eastAsia="標楷體" w:hAnsi="標楷體"/>
              </w:rPr>
            </w:pPr>
            <w:r>
              <w:rPr>
                <w:rFonts w:ascii="標楷體" w:eastAsia="標楷體" w:hAnsi="標楷體" w:hint="eastAsia"/>
              </w:rPr>
              <w:t>工程倫理很重要，它是一種應用</w:t>
            </w:r>
            <w:bookmarkStart w:id="0" w:name="_GoBack"/>
            <w:bookmarkEnd w:id="0"/>
            <w:r>
              <w:rPr>
                <w:rFonts w:ascii="標楷體" w:eastAsia="標楷體" w:hAnsi="標楷體" w:hint="eastAsia"/>
              </w:rPr>
              <w:t>倫理，而大學生選系選科的原因就是為了術業有專攻，在未來工作領域上發揮該專業的相關知識技能。上述所說的課目當然也是很值得學習的科目，但是要在相較之下壓力較為</w:t>
            </w:r>
            <w:r w:rsidR="00591CA2">
              <w:rPr>
                <w:rFonts w:ascii="標楷體" w:eastAsia="標楷體" w:hAnsi="標楷體" w:hint="eastAsia"/>
              </w:rPr>
              <w:t>重，學習的東西較為艱深的工學院再去花學分去學那些科目，不覺得有些可笑嗎?大學即為學習其專精與深度之專業知識，工程倫理的課當然是必要，但是再花時間研究歷史、社會、人類、哲學等等有點太偏離大學的主要目的了。</w:t>
            </w:r>
          </w:p>
          <w:p w:rsidR="00591CA2" w:rsidRDefault="00591CA2" w:rsidP="000A6F88">
            <w:pPr>
              <w:widowControl/>
              <w:shd w:val="clear" w:color="auto" w:fill="FFFFFF"/>
              <w:spacing w:line="375" w:lineRule="atLeast"/>
              <w:rPr>
                <w:rFonts w:ascii="標楷體" w:eastAsia="標楷體" w:hAnsi="標楷體"/>
              </w:rPr>
            </w:pPr>
            <w:r>
              <w:rPr>
                <w:rFonts w:ascii="標楷體" w:eastAsia="標楷體" w:hAnsi="標楷體" w:hint="eastAsia"/>
              </w:rPr>
              <w:t>若是以記者這種邏輯思考，那學習商科的應該也要學習工學院的應用和專業知識，這樣對於未來他們在市場分析才不會不了解工科之相關產品的研發製成等等所耗損的成本不是嗎?</w:t>
            </w:r>
          </w:p>
          <w:p w:rsidR="00591CA2" w:rsidRPr="000A6F88" w:rsidRDefault="00591CA2" w:rsidP="000A6F88">
            <w:pPr>
              <w:widowControl/>
              <w:shd w:val="clear" w:color="auto" w:fill="FFFFFF"/>
              <w:spacing w:line="375" w:lineRule="atLeast"/>
              <w:rPr>
                <w:rFonts w:ascii="標楷體" w:eastAsia="標楷體" w:hAnsi="標楷體" w:hint="eastAsia"/>
              </w:rPr>
            </w:pPr>
          </w:p>
        </w:tc>
      </w:tr>
    </w:tbl>
    <w:p w:rsidR="001B1406" w:rsidRDefault="001B1406" w:rsidP="006C3D8C"/>
    <w:sectPr w:rsidR="001B1406">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2856CD"/>
    <w:multiLevelType w:val="multilevel"/>
    <w:tmpl w:val="9446E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406"/>
    <w:rsid w:val="000A6F88"/>
    <w:rsid w:val="000F02B1"/>
    <w:rsid w:val="0018170F"/>
    <w:rsid w:val="001B1406"/>
    <w:rsid w:val="00385445"/>
    <w:rsid w:val="00413962"/>
    <w:rsid w:val="00591CA2"/>
    <w:rsid w:val="005F4ED6"/>
    <w:rsid w:val="006C3D8C"/>
    <w:rsid w:val="00890438"/>
    <w:rsid w:val="00A33B03"/>
    <w:rsid w:val="00D86A83"/>
    <w:rsid w:val="00DD6A35"/>
    <w:rsid w:val="00E52447"/>
    <w:rsid w:val="00EC5AD3"/>
    <w:rsid w:val="00F0414C"/>
    <w:rsid w:val="00F252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D35A0A-35EB-4D3B-86DE-AF9E81F81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EC5AD3"/>
    <w:rPr>
      <w:color w:val="0000FF"/>
      <w:u w:val="single"/>
    </w:rPr>
  </w:style>
  <w:style w:type="character" w:styleId="a5">
    <w:name w:val="annotation reference"/>
    <w:uiPriority w:val="99"/>
    <w:semiHidden/>
    <w:unhideWhenUsed/>
    <w:rsid w:val="00385445"/>
    <w:rPr>
      <w:sz w:val="18"/>
      <w:szCs w:val="18"/>
    </w:rPr>
  </w:style>
  <w:style w:type="paragraph" w:styleId="a6">
    <w:name w:val="annotation text"/>
    <w:basedOn w:val="a"/>
    <w:link w:val="a7"/>
    <w:uiPriority w:val="99"/>
    <w:semiHidden/>
    <w:unhideWhenUsed/>
    <w:rsid w:val="00385445"/>
  </w:style>
  <w:style w:type="character" w:customStyle="1" w:styleId="a7">
    <w:name w:val="註解文字 字元"/>
    <w:link w:val="a6"/>
    <w:uiPriority w:val="99"/>
    <w:semiHidden/>
    <w:rsid w:val="00385445"/>
    <w:rPr>
      <w:kern w:val="2"/>
      <w:sz w:val="24"/>
      <w:szCs w:val="22"/>
    </w:rPr>
  </w:style>
  <w:style w:type="paragraph" w:styleId="a8">
    <w:name w:val="annotation subject"/>
    <w:basedOn w:val="a6"/>
    <w:next w:val="a6"/>
    <w:link w:val="a9"/>
    <w:uiPriority w:val="99"/>
    <w:semiHidden/>
    <w:unhideWhenUsed/>
    <w:rsid w:val="00385445"/>
    <w:rPr>
      <w:b/>
      <w:bCs/>
    </w:rPr>
  </w:style>
  <w:style w:type="character" w:customStyle="1" w:styleId="a9">
    <w:name w:val="註解主旨 字元"/>
    <w:link w:val="a8"/>
    <w:uiPriority w:val="99"/>
    <w:semiHidden/>
    <w:rsid w:val="00385445"/>
    <w:rPr>
      <w:b/>
      <w:bCs/>
      <w:kern w:val="2"/>
      <w:sz w:val="24"/>
      <w:szCs w:val="22"/>
    </w:rPr>
  </w:style>
  <w:style w:type="paragraph" w:styleId="aa">
    <w:name w:val="Balloon Text"/>
    <w:basedOn w:val="a"/>
    <w:link w:val="ab"/>
    <w:uiPriority w:val="99"/>
    <w:semiHidden/>
    <w:unhideWhenUsed/>
    <w:rsid w:val="00385445"/>
    <w:rPr>
      <w:rFonts w:ascii="Cambria" w:hAnsi="Cambria"/>
      <w:sz w:val="18"/>
      <w:szCs w:val="18"/>
    </w:rPr>
  </w:style>
  <w:style w:type="character" w:customStyle="1" w:styleId="ab">
    <w:name w:val="註解方塊文字 字元"/>
    <w:link w:val="aa"/>
    <w:uiPriority w:val="99"/>
    <w:semiHidden/>
    <w:rsid w:val="00385445"/>
    <w:rPr>
      <w:rFonts w:ascii="Cambria" w:eastAsia="新細明體" w:hAnsi="Cambria" w:cs="Times New Roman"/>
      <w:kern w:val="2"/>
      <w:sz w:val="18"/>
      <w:szCs w:val="18"/>
    </w:rPr>
  </w:style>
  <w:style w:type="paragraph" w:styleId="Web">
    <w:name w:val="Normal (Web)"/>
    <w:basedOn w:val="a"/>
    <w:uiPriority w:val="99"/>
    <w:semiHidden/>
    <w:unhideWhenUsed/>
    <w:rsid w:val="000A6F88"/>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5583">
      <w:bodyDiv w:val="1"/>
      <w:marLeft w:val="0"/>
      <w:marRight w:val="0"/>
      <w:marTop w:val="0"/>
      <w:marBottom w:val="0"/>
      <w:divBdr>
        <w:top w:val="none" w:sz="0" w:space="0" w:color="auto"/>
        <w:left w:val="none" w:sz="0" w:space="0" w:color="auto"/>
        <w:bottom w:val="none" w:sz="0" w:space="0" w:color="auto"/>
        <w:right w:val="none" w:sz="0" w:space="0" w:color="auto"/>
      </w:divBdr>
    </w:div>
    <w:div w:id="202525696">
      <w:bodyDiv w:val="1"/>
      <w:marLeft w:val="0"/>
      <w:marRight w:val="0"/>
      <w:marTop w:val="0"/>
      <w:marBottom w:val="0"/>
      <w:divBdr>
        <w:top w:val="none" w:sz="0" w:space="0" w:color="auto"/>
        <w:left w:val="none" w:sz="0" w:space="0" w:color="auto"/>
        <w:bottom w:val="none" w:sz="0" w:space="0" w:color="auto"/>
        <w:right w:val="none" w:sz="0" w:space="0" w:color="auto"/>
      </w:divBdr>
    </w:div>
    <w:div w:id="335814073">
      <w:bodyDiv w:val="1"/>
      <w:marLeft w:val="0"/>
      <w:marRight w:val="0"/>
      <w:marTop w:val="0"/>
      <w:marBottom w:val="0"/>
      <w:divBdr>
        <w:top w:val="none" w:sz="0" w:space="0" w:color="auto"/>
        <w:left w:val="none" w:sz="0" w:space="0" w:color="auto"/>
        <w:bottom w:val="none" w:sz="0" w:space="0" w:color="auto"/>
        <w:right w:val="none" w:sz="0" w:space="0" w:color="auto"/>
      </w:divBdr>
      <w:divsChild>
        <w:div w:id="1287152037">
          <w:marLeft w:val="45"/>
          <w:marRight w:val="150"/>
          <w:marTop w:val="150"/>
          <w:marBottom w:val="150"/>
          <w:divBdr>
            <w:top w:val="single" w:sz="6" w:space="0" w:color="666666"/>
            <w:left w:val="single" w:sz="6" w:space="0" w:color="666666"/>
            <w:bottom w:val="single" w:sz="6" w:space="0" w:color="666666"/>
            <w:right w:val="single" w:sz="6" w:space="0" w:color="666666"/>
          </w:divBdr>
        </w:div>
      </w:divsChild>
    </w:div>
    <w:div w:id="1071930209">
      <w:bodyDiv w:val="1"/>
      <w:marLeft w:val="0"/>
      <w:marRight w:val="0"/>
      <w:marTop w:val="0"/>
      <w:marBottom w:val="0"/>
      <w:divBdr>
        <w:top w:val="none" w:sz="0" w:space="0" w:color="auto"/>
        <w:left w:val="none" w:sz="0" w:space="0" w:color="auto"/>
        <w:bottom w:val="none" w:sz="0" w:space="0" w:color="auto"/>
        <w:right w:val="none" w:sz="0" w:space="0" w:color="auto"/>
      </w:divBdr>
    </w:div>
    <w:div w:id="142653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ppledaily.com.tw/realtimenews/article/new/20160911/946463/"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266</Words>
  <Characters>1521</Characters>
  <Application>Microsoft Office Word</Application>
  <DocSecurity>0</DocSecurity>
  <Lines>12</Lines>
  <Paragraphs>3</Paragraphs>
  <ScaleCrop>false</ScaleCrop>
  <Company/>
  <LinksUpToDate>false</LinksUpToDate>
  <CharactersWithSpaces>1784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林均</cp:lastModifiedBy>
  <cp:revision>2</cp:revision>
  <dcterms:created xsi:type="dcterms:W3CDTF">2016-12-06T11:24:00Z</dcterms:created>
  <dcterms:modified xsi:type="dcterms:W3CDTF">2016-12-06T11:24:00Z</dcterms:modified>
</cp:coreProperties>
</file>