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15267C" w:rsidRDefault="00515ADD" w:rsidP="00107302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南臺科技大學</w:t>
      </w:r>
      <w:r w:rsidRPr="0015267C">
        <w:rPr>
          <w:rFonts w:ascii="Times New Roman" w:eastAsia="標楷體" w:hAnsi="Times New Roman" w:hint="eastAsia"/>
          <w:b/>
          <w:sz w:val="32"/>
        </w:rPr>
        <w:t xml:space="preserve">  </w:t>
      </w:r>
      <w:r w:rsidR="007F46BE" w:rsidRPr="0015267C">
        <w:rPr>
          <w:rFonts w:ascii="Times New Roman" w:eastAsia="標楷體" w:hAnsi="Times New Roman" w:hint="eastAsia"/>
          <w:b/>
          <w:sz w:val="32"/>
        </w:rPr>
        <w:t>10</w:t>
      </w:r>
      <w:r w:rsidR="004A6E64">
        <w:rPr>
          <w:rFonts w:ascii="Times New Roman" w:eastAsia="標楷體" w:hAnsi="Times New Roman" w:hint="eastAsia"/>
          <w:b/>
          <w:sz w:val="32"/>
        </w:rPr>
        <w:t>5</w:t>
      </w:r>
      <w:r w:rsidR="004A6E64">
        <w:rPr>
          <w:rFonts w:ascii="Times New Roman" w:eastAsia="標楷體" w:hAnsi="Times New Roman" w:hint="eastAsia"/>
          <w:b/>
          <w:sz w:val="32"/>
        </w:rPr>
        <w:t>學年度第一</w:t>
      </w:r>
      <w:r w:rsidR="007F46BE" w:rsidRPr="0015267C">
        <w:rPr>
          <w:rFonts w:ascii="Times New Roman" w:eastAsia="標楷體" w:hAnsi="Times New Roman" w:hint="eastAsia"/>
          <w:b/>
          <w:sz w:val="32"/>
        </w:rPr>
        <w:t>學期</w:t>
      </w:r>
    </w:p>
    <w:p w:rsidR="00E64BE3" w:rsidRPr="0015267C" w:rsidRDefault="00107302" w:rsidP="00107302">
      <w:pPr>
        <w:spacing w:beforeLines="50" w:before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「經濟學</w:t>
      </w:r>
      <w:r w:rsidR="007F46BE" w:rsidRPr="0015267C">
        <w:rPr>
          <w:rFonts w:ascii="Times New Roman" w:eastAsia="標楷體" w:hAnsi="Times New Roman" w:hint="eastAsia"/>
          <w:b/>
          <w:sz w:val="32"/>
        </w:rPr>
        <w:t>」</w:t>
      </w:r>
      <w:r w:rsidR="00E64BE3" w:rsidRPr="0015267C">
        <w:rPr>
          <w:rFonts w:ascii="Times New Roman" w:eastAsia="標楷體" w:hAnsi="Times New Roman" w:hint="eastAsia"/>
          <w:b/>
          <w:sz w:val="32"/>
        </w:rPr>
        <w:t xml:space="preserve"> </w:t>
      </w:r>
      <w:r w:rsidR="009B1FB1" w:rsidRPr="0015267C">
        <w:rPr>
          <w:rFonts w:ascii="Times New Roman" w:eastAsia="標楷體" w:hAnsi="Times New Roman" w:hint="eastAsia"/>
          <w:b/>
          <w:sz w:val="32"/>
        </w:rPr>
        <w:t>課程教學</w:t>
      </w:r>
      <w:r w:rsidR="00E64BE3" w:rsidRPr="0015267C">
        <w:rPr>
          <w:rFonts w:ascii="Times New Roman" w:eastAsia="標楷體" w:hAnsi="Times New Roman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9C73C8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9C73C8" w:rsidRDefault="00112516" w:rsidP="00112516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相互依存與交易利得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9C73C8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楊子震</w:t>
            </w:r>
            <w:proofErr w:type="gramEnd"/>
          </w:p>
        </w:tc>
      </w:tr>
      <w:tr w:rsidR="00612B14" w:rsidRPr="009C73C8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9C73C8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9C73C8" w:rsidRDefault="00112516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612B14" w:rsidRPr="009C73C8" w:rsidRDefault="002A350C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105/0</w:t>
            </w:r>
            <w:r w:rsidR="0010730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 w:rsidR="00112516">
              <w:rPr>
                <w:rFonts w:ascii="Times New Roman" w:eastAsia="標楷體" w:hAnsi="Times New Roman" w:hint="eastAsia"/>
                <w:sz w:val="26"/>
                <w:szCs w:val="26"/>
              </w:rPr>
              <w:t>/27</w:t>
            </w:r>
          </w:p>
        </w:tc>
      </w:tr>
      <w:tr w:rsidR="0047218B" w:rsidRPr="009C73C8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E04ACA" w:rsidP="009C73C8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一、本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112516">
              <w:rPr>
                <w:rFonts w:ascii="Times New Roman" w:eastAsia="標楷體" w:hAnsi="Times New Roman" w:hint="eastAsia"/>
                <w:sz w:val="26"/>
                <w:szCs w:val="26"/>
              </w:rPr>
              <w:t>為生產可能曲線與機會成本的探討</w:t>
            </w:r>
            <w:r w:rsidR="00716760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，從</w:t>
            </w:r>
            <w:r w:rsidR="00112516">
              <w:rPr>
                <w:rFonts w:ascii="Times New Roman" w:eastAsia="標楷體" w:hAnsi="Times New Roman" w:hint="eastAsia"/>
                <w:sz w:val="26"/>
                <w:szCs w:val="26"/>
              </w:rPr>
              <w:t>生產可能曲線</w:t>
            </w:r>
            <w:r w:rsidR="00716760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談起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112516">
              <w:rPr>
                <w:rFonts w:ascii="Times New Roman" w:eastAsia="標楷體" w:hAnsi="Times New Roman" w:hint="eastAsia"/>
                <w:sz w:val="26"/>
                <w:szCs w:val="26"/>
              </w:rPr>
              <w:t>再帶</w:t>
            </w:r>
            <w:r w:rsidR="00D941CA">
              <w:rPr>
                <w:rFonts w:ascii="Times New Roman" w:eastAsia="標楷體" w:hAnsi="Times New Roman" w:hint="eastAsia"/>
                <w:sz w:val="26"/>
                <w:szCs w:val="26"/>
              </w:rPr>
              <w:t>到在有國際貿易情況下，國與國之間的貿易情形與機會成本</w:t>
            </w:r>
            <w:r w:rsidR="00112516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並透過</w:t>
            </w:r>
            <w:r w:rsidR="00716760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小組討論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的方式</w:t>
            </w:r>
            <w:r w:rsidR="00D941CA">
              <w:rPr>
                <w:rFonts w:ascii="Times New Roman" w:eastAsia="標楷體" w:hAnsi="Times New Roman" w:hint="eastAsia"/>
                <w:sz w:val="26"/>
                <w:szCs w:val="26"/>
              </w:rPr>
              <w:t>讓同學們了解機會成本的計算與</w:t>
            </w:r>
            <w:r w:rsidR="00D15684">
              <w:rPr>
                <w:rFonts w:ascii="Times New Roman" w:eastAsia="標楷體" w:hAnsi="Times New Roman" w:hint="eastAsia"/>
                <w:sz w:val="26"/>
                <w:szCs w:val="26"/>
              </w:rPr>
              <w:t>判斷國與國之間如何貿易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47218B" w:rsidRPr="009C73C8" w:rsidRDefault="00E04ACA" w:rsidP="00A50E62">
            <w:pPr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二、</w:t>
            </w:r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A50E62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討論活動皆有拍照留念，並由教學助理協助學生討論</w:t>
            </w:r>
            <w:r w:rsidR="006C196A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9C73C8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112516" w:rsidP="00112516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一、本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有同學問到機會成本的計算的問題</w:t>
            </w:r>
            <w:r w:rsidR="00E34351">
              <w:rPr>
                <w:rFonts w:ascii="Times New Roman" w:eastAsia="標楷體" w:hAnsi="Times New Roman" w:hint="eastAsia"/>
                <w:sz w:val="26"/>
                <w:szCs w:val="26"/>
              </w:rPr>
              <w:t>。教學助理回覆：機會成本不能死背，而是要用理解的，因為用背的很容易將位置放錯，導致機會成本計算錯誤及國與國之間的貿易判斷錯誤。</w:t>
            </w:r>
            <w:bookmarkStart w:id="0" w:name="_GoBack"/>
            <w:bookmarkEnd w:id="0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64BE3" w:rsidRPr="0015267C" w:rsidRDefault="00E64BE3" w:rsidP="002F5863">
      <w:pPr>
        <w:spacing w:beforeLines="50" w:before="180" w:afterLines="50" w:after="180"/>
        <w:rPr>
          <w:rFonts w:ascii="Times New Roman" w:hAnsi="Times New Roman"/>
        </w:rPr>
      </w:pPr>
    </w:p>
    <w:sectPr w:rsidR="00E64BE3" w:rsidRPr="0015267C" w:rsidSect="007B39AC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0B" w:rsidRDefault="00BF590B" w:rsidP="0024770F">
      <w:r>
        <w:separator/>
      </w:r>
    </w:p>
  </w:endnote>
  <w:endnote w:type="continuationSeparator" w:id="0">
    <w:p w:rsidR="00BF590B" w:rsidRDefault="00BF590B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0B" w:rsidRDefault="00BF590B" w:rsidP="0024770F">
      <w:r>
        <w:separator/>
      </w:r>
    </w:p>
  </w:footnote>
  <w:footnote w:type="continuationSeparator" w:id="0">
    <w:p w:rsidR="00BF590B" w:rsidRDefault="00BF590B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83397"/>
    <w:rsid w:val="00107302"/>
    <w:rsid w:val="00112516"/>
    <w:rsid w:val="0015267C"/>
    <w:rsid w:val="002219E1"/>
    <w:rsid w:val="0023768C"/>
    <w:rsid w:val="0024488E"/>
    <w:rsid w:val="0024770F"/>
    <w:rsid w:val="002A350C"/>
    <w:rsid w:val="002F5863"/>
    <w:rsid w:val="00351A60"/>
    <w:rsid w:val="00366714"/>
    <w:rsid w:val="003D106B"/>
    <w:rsid w:val="00400EDF"/>
    <w:rsid w:val="00414FA5"/>
    <w:rsid w:val="004207EF"/>
    <w:rsid w:val="0047218B"/>
    <w:rsid w:val="00483066"/>
    <w:rsid w:val="004901BB"/>
    <w:rsid w:val="004A6E64"/>
    <w:rsid w:val="004F41B2"/>
    <w:rsid w:val="00515ADD"/>
    <w:rsid w:val="005B7F84"/>
    <w:rsid w:val="00612B14"/>
    <w:rsid w:val="00640319"/>
    <w:rsid w:val="006C196A"/>
    <w:rsid w:val="00702F26"/>
    <w:rsid w:val="00716760"/>
    <w:rsid w:val="0076566C"/>
    <w:rsid w:val="00775A46"/>
    <w:rsid w:val="007B39AC"/>
    <w:rsid w:val="007F46BE"/>
    <w:rsid w:val="0090498F"/>
    <w:rsid w:val="0094152A"/>
    <w:rsid w:val="00997B28"/>
    <w:rsid w:val="009A1EC8"/>
    <w:rsid w:val="009B1FB1"/>
    <w:rsid w:val="009C73C8"/>
    <w:rsid w:val="00A4026B"/>
    <w:rsid w:val="00A50E62"/>
    <w:rsid w:val="00AB6117"/>
    <w:rsid w:val="00BA065C"/>
    <w:rsid w:val="00BF590B"/>
    <w:rsid w:val="00CB2B4D"/>
    <w:rsid w:val="00CF66E5"/>
    <w:rsid w:val="00D15684"/>
    <w:rsid w:val="00D83E3E"/>
    <w:rsid w:val="00D941CA"/>
    <w:rsid w:val="00DE6FA3"/>
    <w:rsid w:val="00E04ACA"/>
    <w:rsid w:val="00E34351"/>
    <w:rsid w:val="00E44B9D"/>
    <w:rsid w:val="00E55672"/>
    <w:rsid w:val="00E64BE3"/>
    <w:rsid w:val="00E86DF0"/>
    <w:rsid w:val="00E95B50"/>
    <w:rsid w:val="00E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  <w:style w:type="paragraph" w:styleId="a8">
    <w:name w:val="List Paragraph"/>
    <w:basedOn w:val="a"/>
    <w:uiPriority w:val="34"/>
    <w:qFormat/>
    <w:rsid w:val="0011251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  <w:style w:type="paragraph" w:styleId="a8">
    <w:name w:val="List Paragraph"/>
    <w:basedOn w:val="a"/>
    <w:uiPriority w:val="34"/>
    <w:qFormat/>
    <w:rsid w:val="001125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4</cp:revision>
  <dcterms:created xsi:type="dcterms:W3CDTF">2016-12-06T15:59:00Z</dcterms:created>
  <dcterms:modified xsi:type="dcterms:W3CDTF">2016-12-06T16:09:00Z</dcterms:modified>
</cp:coreProperties>
</file>