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閱</w:t>
      </w:r>
      <w:proofErr w:type="gramEnd"/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。請將閱讀報緍文章複作，讓評審老師方便閱讀查詢，未附上者不列入評比。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於106年12月27日頒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經費:由2017第七屆三好校園實踐學校補助款支應。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proofErr w:type="gramStart"/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>技行流一</w:t>
      </w:r>
      <w:proofErr w:type="gramEnd"/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甲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學號:</w:t>
      </w:r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>4A6D0020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>郭聿紋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日期:  </w:t>
      </w:r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>106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年  </w:t>
      </w:r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>11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月   </w:t>
      </w:r>
      <w:r w:rsidR="00911561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Pr="00911561">
        <w:rPr>
          <w:rFonts w:ascii="標楷體" w:eastAsia="標楷體" w:cs="標楷體" w:hint="eastAsia"/>
          <w:color w:val="000000"/>
          <w:kern w:val="0"/>
          <w:sz w:val="28"/>
          <w:szCs w:val="28"/>
          <w:highlight w:val="yellow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Default="00911561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A6B1250" wp14:editId="68AA46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405765</wp:posOffset>
                  </wp:positionV>
                  <wp:extent cx="6257925" cy="63246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648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632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3DD"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:rsidR="00911561" w:rsidRPr="00C95F45" w:rsidRDefault="00911561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03DD" w:rsidRPr="00AA3D5E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213071" w:rsidRPr="00911561" w:rsidRDefault="00911561">
      <w:pPr>
        <w:rPr>
          <w:sz w:val="28"/>
          <w:szCs w:val="28"/>
        </w:rPr>
      </w:pPr>
      <w:r w:rsidRPr="00911561">
        <w:rPr>
          <w:rFonts w:hint="eastAsia"/>
          <w:sz w:val="28"/>
          <w:szCs w:val="28"/>
        </w:rPr>
        <w:t>看了這篇文章，讓我想起曾經看過一段影片，這段影片的開頭是一個男孩和朋友在玩滑板，在玩耍過程中，男孩在街道</w:t>
      </w:r>
      <w:bookmarkStart w:id="0" w:name="_GoBack"/>
      <w:bookmarkEnd w:id="0"/>
      <w:r w:rsidRPr="00911561">
        <w:rPr>
          <w:rFonts w:hint="eastAsia"/>
          <w:sz w:val="28"/>
          <w:szCs w:val="28"/>
        </w:rPr>
        <w:t>上跌了一跤，一名與男孩素昧平生路人上前去</w:t>
      </w:r>
      <w:r w:rsidRPr="00911561">
        <w:rPr>
          <w:rFonts w:hint="eastAsia"/>
          <w:sz w:val="28"/>
          <w:szCs w:val="28"/>
        </w:rPr>
        <w:lastRenderedPageBreak/>
        <w:t>扶了他一把，接著男孩到了路</w:t>
      </w:r>
      <w:proofErr w:type="gramStart"/>
      <w:r w:rsidRPr="00911561">
        <w:rPr>
          <w:rFonts w:hint="eastAsia"/>
          <w:sz w:val="28"/>
          <w:szCs w:val="28"/>
        </w:rPr>
        <w:t>邊攤想買</w:t>
      </w:r>
      <w:proofErr w:type="gramEnd"/>
      <w:r w:rsidRPr="00911561">
        <w:rPr>
          <w:rFonts w:hint="eastAsia"/>
          <w:sz w:val="28"/>
          <w:szCs w:val="28"/>
        </w:rPr>
        <w:t>熱狗堡填飽肚子，原先他只買了一個，但當他回過頭時看見一個流浪漢，他想起了剛剛他被幫助的情景，所以他決定用手中剩餘的錢買一個給流浪漢吃，男孩的行為讓流浪漢深深受到感動，此時有個女孩急急忙忙從流浪漢身邊跑過，錢包掉在地上了，女孩卻沒有察覺到，流浪漢並沒有因為身上一無所有而貪圖那些錢，反而是追上去，把錢包還給了女孩，在這影片當中，他們所做這些並沒有讓他們從中獲得到甚麼利益，在</w:t>
      </w:r>
      <w:proofErr w:type="gramStart"/>
      <w:r w:rsidRPr="00911561">
        <w:rPr>
          <w:rFonts w:hint="eastAsia"/>
          <w:sz w:val="28"/>
          <w:szCs w:val="28"/>
        </w:rPr>
        <w:t>背後推使他們</w:t>
      </w:r>
      <w:proofErr w:type="gramEnd"/>
      <w:r w:rsidRPr="00911561">
        <w:rPr>
          <w:rFonts w:hint="eastAsia"/>
          <w:sz w:val="28"/>
          <w:szCs w:val="28"/>
        </w:rPr>
        <w:t>去做這些的只是因為他人給與的一點無私的愛與感動，使他們心甘情願的為陌生人付出，即使你是在上學的路上，替盆栽澆水，在天橋上看見正在乞討的母女，你給了一些錢，這並不會花你很多時間，也或許你能得到的，只是朝氣蓬勃的綠葉，只是小女孩純真的笑容，但對他們而言所獲得的可能不只是那麼一點，若這個世界上，每個人都能把平常生活中覺得平凡無奇的小事，放大來仔細品味，其實處處充滿著人情，若是我們將這些感動飲水思源，結草銜環以報的話，那這個社會一定會成為一個讓人感到幸福的地方。</w:t>
      </w:r>
    </w:p>
    <w:sectPr w:rsidR="00213071" w:rsidRPr="009115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D"/>
    <w:rsid w:val="001B03DD"/>
    <w:rsid w:val="00213071"/>
    <w:rsid w:val="00502255"/>
    <w:rsid w:val="009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3926C-2986-483C-8886-D2ED788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李奇峻</cp:lastModifiedBy>
  <cp:revision>3</cp:revision>
  <dcterms:created xsi:type="dcterms:W3CDTF">2017-11-07T06:36:00Z</dcterms:created>
  <dcterms:modified xsi:type="dcterms:W3CDTF">2017-11-07T08:53:00Z</dcterms:modified>
</cp:coreProperties>
</file>