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500" w:lineRule="auto"/>
        <w:contextualSpacing w:val="0"/>
        <w:rPr>
          <w:rFonts w:ascii="標楷體" w:cs="標楷體" w:eastAsia="標楷體" w:hAnsi="標楷體"/>
          <w:color w:val="000000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color w:val="000000"/>
          <w:sz w:val="32"/>
          <w:szCs w:val="32"/>
          <w:rtl w:val="0"/>
        </w:rPr>
        <w:t xml:space="preserve">南臺科技大學106學年度第一學期推動學生終身閱讀學習心得比賽</w:t>
      </w:r>
    </w:p>
    <w:p w:rsidR="00000000" w:rsidDel="00000000" w:rsidP="00000000" w:rsidRDefault="00000000" w:rsidRPr="00000000">
      <w:pPr>
        <w:spacing w:line="500" w:lineRule="auto"/>
        <w:contextualSpacing w:val="0"/>
        <w:rPr>
          <w:rFonts w:ascii="標楷體" w:cs="標楷體" w:eastAsia="標楷體" w:hAnsi="標楷體"/>
          <w:color w:val="00000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班級:     資管二甲   學號:  4a590903       姓名:鄭如珺</w:t>
      </w:r>
    </w:p>
    <w:p w:rsidR="00000000" w:rsidDel="00000000" w:rsidP="00000000" w:rsidRDefault="00000000" w:rsidRPr="00000000">
      <w:pPr>
        <w:spacing w:line="500" w:lineRule="auto"/>
        <w:contextualSpacing w:val="0"/>
        <w:rPr>
          <w:rFonts w:ascii="標楷體" w:cs="標楷體" w:eastAsia="標楷體" w:hAnsi="標楷體"/>
          <w:b w:val="1"/>
          <w:color w:val="ff000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主題:人間福報        日期:   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2017</w:t>
      </w: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年  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 月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07</w:t>
      </w: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 日  </w:t>
      </w:r>
      <w:r w:rsidDel="00000000" w:rsidR="00000000" w:rsidRPr="00000000">
        <w:rPr>
          <w:rFonts w:ascii="Webdings" w:cs="Webdings" w:eastAsia="Webdings" w:hAnsi="Webdings"/>
          <w:color w:val="000000"/>
          <w:sz w:val="28"/>
          <w:szCs w:val="28"/>
          <w:rtl w:val="0"/>
        </w:rPr>
        <w:t xml:space="preserve"></w:t>
      </w: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覺世</w:t>
      </w:r>
      <w:r w:rsidDel="00000000" w:rsidR="00000000" w:rsidRPr="00000000">
        <w:rPr>
          <w:rFonts w:ascii="Webdings" w:cs="Webdings" w:eastAsia="Webdings" w:hAnsi="Webdings"/>
          <w:color w:val="000000"/>
          <w:sz w:val="28"/>
          <w:szCs w:val="28"/>
          <w:rtl w:val="0"/>
        </w:rPr>
        <w:t xml:space="preserve"></w:t>
      </w:r>
      <w:r w:rsidDel="00000000" w:rsidR="00000000" w:rsidRPr="00000000">
        <w:rPr>
          <w:rFonts w:ascii="標楷體" w:cs="標楷體" w:eastAsia="標楷體" w:hAnsi="標楷體"/>
          <w:color w:val="000000"/>
          <w:sz w:val="28"/>
          <w:szCs w:val="28"/>
          <w:rtl w:val="0"/>
        </w:rPr>
        <w:t xml:space="preserve">家庭</w:t>
      </w:r>
      <w:r w:rsidDel="00000000" w:rsidR="00000000" w:rsidRPr="00000000">
        <w:rPr>
          <w:rFonts w:ascii="Webdings" w:cs="Webdings" w:eastAsia="Webdings" w:hAnsi="Webdings"/>
          <w:b w:val="1"/>
          <w:color w:val="ff0000"/>
          <w:sz w:val="28"/>
          <w:szCs w:val="28"/>
          <w:rtl w:val="0"/>
        </w:rPr>
        <w:t xml:space="preserve">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rtl w:val="0"/>
        </w:rPr>
        <w:t xml:space="preserve">其他</w:t>
      </w:r>
    </w:p>
    <w:tbl>
      <w:tblPr>
        <w:tblStyle w:val="Table1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trHeight w:val="166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報緍內容:(下載複製或拍照貼上即可)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</w:rPr>
              <w:drawing>
                <wp:inline distB="0" distT="0" distL="0" distR="0">
                  <wp:extent cx="6479540" cy="63817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6381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心得感想:(字體14,單行間距，與前段單行間距)</w:t>
      </w:r>
    </w:p>
    <w:p w:rsidR="00000000" w:rsidDel="00000000" w:rsidP="00000000" w:rsidRDefault="00000000" w:rsidRPr="00000000">
      <w:pPr>
        <w:pStyle w:val="Heading2"/>
        <w:shd w:fill="ffffff" w:val="clear"/>
        <w:spacing w:after="0" w:before="0" w:lineRule="auto"/>
        <w:contextualSpacing w:val="0"/>
        <w:rPr>
          <w:rFonts w:ascii="Comic Sans MS" w:cs="Comic Sans MS" w:eastAsia="Comic Sans MS" w:hAnsi="Comic Sans MS"/>
          <w:b w:val="0"/>
          <w:color w:val="222222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0"/>
          <w:color w:val="222222"/>
          <w:sz w:val="28"/>
          <w:szCs w:val="28"/>
          <w:highlight w:val="white"/>
          <w:rtl w:val="0"/>
        </w:rPr>
        <w:t xml:space="preserve">這份報導是在說，</w:t>
      </w:r>
      <w:r w:rsidDel="00000000" w:rsidR="00000000" w:rsidRPr="00000000">
        <w:rPr>
          <w:rFonts w:ascii="Gungsuh" w:cs="Gungsuh" w:eastAsia="Gungsuh" w:hAnsi="Gungsuh"/>
          <w:b w:val="0"/>
          <w:color w:val="0d0d0d"/>
          <w:sz w:val="28"/>
          <w:szCs w:val="28"/>
          <w:highlight w:val="white"/>
          <w:rtl w:val="0"/>
        </w:rPr>
        <w:t xml:space="preserve">一位</w:t>
      </w:r>
      <w:r w:rsidDel="00000000" w:rsidR="00000000" w:rsidRPr="00000000">
        <w:rPr>
          <w:rFonts w:ascii="Gungsuh" w:cs="Gungsuh" w:eastAsia="Gungsuh" w:hAnsi="Gungsuh"/>
          <w:b w:val="0"/>
          <w:color w:val="0d0d0d"/>
          <w:sz w:val="28"/>
          <w:szCs w:val="28"/>
          <w:rtl w:val="0"/>
        </w:rPr>
        <w:t xml:space="preserve">罹患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0"/>
            <w:color w:val="0d0d0d"/>
            <w:sz w:val="28"/>
            <w:szCs w:val="28"/>
            <w:u w:val="single"/>
            <w:rtl w:val="0"/>
          </w:rPr>
          <w:t xml:space="preserve">失智症</w:t>
        </w:r>
      </w:hyperlink>
      <w:r w:rsidDel="00000000" w:rsidR="00000000" w:rsidRPr="00000000">
        <w:rPr>
          <w:rFonts w:ascii="Gungsuh" w:cs="Gungsuh" w:eastAsia="Gungsuh" w:hAnsi="Gungsuh"/>
          <w:b w:val="0"/>
          <w:color w:val="0d0d0d"/>
          <w:sz w:val="28"/>
          <w:szCs w:val="28"/>
          <w:rtl w:val="0"/>
        </w:rPr>
        <w:t xml:space="preserve">的老奶奶</w:t>
      </w:r>
      <w:r w:rsidDel="00000000" w:rsidR="00000000" w:rsidRPr="00000000">
        <w:rPr>
          <w:rFonts w:ascii="Gungsuh" w:cs="Gungsuh" w:eastAsia="Gungsuh" w:hAnsi="Gungsuh"/>
          <w:b w:val="0"/>
          <w:color w:val="222222"/>
          <w:sz w:val="28"/>
          <w:szCs w:val="28"/>
          <w:highlight w:val="white"/>
          <w:rtl w:val="0"/>
        </w:rPr>
        <w:t xml:space="preserve">，名叫節子自從67歲那年確診罹患了阿茲海默症之後，記性越來越差，常常1分鐘之前發生的事情，1分鐘之後就被她忘得乾乾淨淨。而</w:t>
      </w:r>
      <w:r w:rsidDel="00000000" w:rsidR="00000000" w:rsidRPr="00000000">
        <w:rPr>
          <w:rFonts w:ascii="Gungsuh" w:cs="Gungsuh" w:eastAsia="Gungsuh" w:hAnsi="Gungsuh"/>
          <w:b w:val="0"/>
          <w:color w:val="222222"/>
          <w:sz w:val="28"/>
          <w:szCs w:val="28"/>
          <w:rtl w:val="0"/>
        </w:rPr>
        <w:t xml:space="preserve">堅強的老奶奶節子因禍得福，在他女兒克莉絲汀的介紹下，節子之前只都說日語，但她依靠自學學會了英語，更學會了駕駛小型飛機。幾年前，就在她因為阿茲海默症每天都糊裡糊塗的時候，醫生檢查出她罹患了乳癌，住院前的全身檢查中，再次發現她已經到了結腸癌晚期，癌細胞已經擴散。醫生當時只得採取保守療法，並宣布老奶奶最多再活6個月。</w:t>
      </w:r>
    </w:p>
    <w:p w:rsidR="00000000" w:rsidDel="00000000" w:rsidP="00000000" w:rsidRDefault="00000000" w:rsidRPr="00000000">
      <w:pPr>
        <w:pStyle w:val="Heading2"/>
        <w:shd w:fill="ffffff" w:val="clear"/>
        <w:spacing w:after="0" w:before="0" w:lineRule="auto"/>
        <w:contextualSpacing w:val="0"/>
        <w:rPr>
          <w:rFonts w:ascii="Comic Sans MS" w:cs="Comic Sans MS" w:eastAsia="Comic Sans MS" w:hAnsi="Comic Sans MS"/>
          <w:b w:val="0"/>
          <w:color w:val="222222"/>
          <w:sz w:val="28"/>
          <w:szCs w:val="28"/>
        </w:rPr>
      </w:pPr>
      <w:bookmarkStart w:colFirst="0" w:colLast="0" w:name="_bbz6klgifzxl" w:id="0"/>
      <w:bookmarkEnd w:id="0"/>
      <w:r w:rsidDel="00000000" w:rsidR="00000000" w:rsidRPr="00000000">
        <w:rPr>
          <w:rFonts w:ascii="Gungsuh" w:cs="Gungsuh" w:eastAsia="Gungsuh" w:hAnsi="Gungsuh"/>
          <w:b w:val="0"/>
          <w:color w:val="222222"/>
          <w:sz w:val="28"/>
          <w:szCs w:val="28"/>
          <w:rtl w:val="0"/>
        </w:rPr>
        <w:t xml:space="preserve">我覺得節子的經歷很悲慘，不過看到他跟他女兒的故事，覺得她的女兒非常的有耐心且很孝順，覺得老爺爺，也就是節子的老公對她持久的愛感到非常羨慕及讚賞，覺得老奶奶節子能有這樣的一家人，讓我感覺非常溫馨。</w:t>
      </w:r>
    </w:p>
    <w:p w:rsidR="00000000" w:rsidDel="00000000" w:rsidP="00000000" w:rsidRDefault="00000000" w:rsidRPr="00000000">
      <w:pPr>
        <w:pStyle w:val="Heading2"/>
        <w:shd w:fill="ffffff" w:val="clear"/>
        <w:spacing w:after="0" w:before="0" w:lineRule="auto"/>
        <w:contextualSpacing w:val="0"/>
        <w:rPr>
          <w:rFonts w:ascii="Comic Sans MS" w:cs="Comic Sans MS" w:eastAsia="Comic Sans MS" w:hAnsi="Comic Sans MS"/>
          <w:b w:val="0"/>
          <w:sz w:val="28"/>
          <w:szCs w:val="28"/>
          <w:highlight w:val="white"/>
        </w:rPr>
      </w:pPr>
      <w:bookmarkStart w:colFirst="0" w:colLast="0" w:name="_3c1usijmt2i" w:id="1"/>
      <w:bookmarkEnd w:id="1"/>
      <w:r w:rsidDel="00000000" w:rsidR="00000000" w:rsidRPr="00000000">
        <w:rPr>
          <w:rFonts w:ascii="Gungsuh" w:cs="Gungsuh" w:eastAsia="Gungsuh" w:hAnsi="Gungsuh"/>
          <w:b w:val="0"/>
          <w:color w:val="222222"/>
          <w:sz w:val="28"/>
          <w:szCs w:val="28"/>
          <w:rtl w:val="0"/>
        </w:rPr>
        <w:t xml:space="preserve">就在</w:t>
      </w:r>
      <w:r w:rsidDel="00000000" w:rsidR="00000000" w:rsidRPr="00000000">
        <w:rPr>
          <w:rFonts w:ascii="Gungsuh" w:cs="Gungsuh" w:eastAsia="Gungsuh" w:hAnsi="Gungsuh"/>
          <w:b w:val="0"/>
          <w:sz w:val="28"/>
          <w:szCs w:val="28"/>
          <w:highlight w:val="white"/>
          <w:rtl w:val="0"/>
        </w:rPr>
        <w:t xml:space="preserve">幾年過去了，節子不僅沒有死，身體中的癌細胞還不見了。克莉絲汀說，失智症讓老人總是遺忘自己罹患癌症的情況，也遺忘了自己的病痛，因此讓她得以完全康復。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或許大家常說的，生病時保持好心情，可以使身體的病痛慢慢痊癒是真的吧！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我會選這篇的原因是因為外公正慢慢的忘記很多事情，希望外公能因為天天保持好心情而減緩失智的速度，並且可以慢慢好起來</w:t>
      </w:r>
      <w:r w:rsidDel="00000000" w:rsidR="00000000" w:rsidRPr="00000000">
        <w:rPr>
          <w:rFonts w:ascii="Gungsuh" w:cs="Gungsuh" w:eastAsia="Gungsuh" w:hAnsi="Gungsuh"/>
          <w:sz w:val="28"/>
          <w:szCs w:val="28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hd w:fill="ffffff" w:val="clear"/>
        <w:spacing w:after="0" w:before="0" w:lineRule="auto"/>
        <w:contextualSpacing w:val="0"/>
        <w:rPr>
          <w:rFonts w:ascii="Comic Sans MS" w:cs="Comic Sans MS" w:eastAsia="Comic Sans MS" w:hAnsi="Comic Sans MS"/>
          <w:b w:val="0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Gungsuh"/>
  <w:font w:name="Verdana"/>
  <w:font w:name="Webdings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  <w:spacing w:after="100" w:before="100" w:lineRule="auto"/>
    </w:pPr>
    <w:rPr>
      <w:rFonts w:ascii="新細明體" w:cs="新細明體" w:eastAsia="新細明體" w:hAnsi="新細明體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pochtimes.com/b5/tag/%e5%a4%b1%e6%99%ba%e7%97%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