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339" w:rsidRPr="004A6339" w:rsidRDefault="004A6339" w:rsidP="004A6339">
      <w:pPr>
        <w:adjustRightInd w:val="0"/>
        <w:snapToGrid w:val="0"/>
        <w:jc w:val="center"/>
        <w:rPr>
          <w:rFonts w:eastAsia="標楷體"/>
          <w:b/>
          <w:sz w:val="32"/>
          <w:szCs w:val="32"/>
        </w:rPr>
      </w:pPr>
      <w:r w:rsidRPr="004A6339">
        <w:rPr>
          <w:rFonts w:eastAsia="標楷體"/>
          <w:b/>
          <w:sz w:val="32"/>
          <w:szCs w:val="32"/>
        </w:rPr>
        <w:t>南</w:t>
      </w:r>
      <w:proofErr w:type="gramStart"/>
      <w:r w:rsidRPr="004A6339">
        <w:rPr>
          <w:rFonts w:eastAsia="標楷體"/>
          <w:b/>
          <w:sz w:val="32"/>
          <w:szCs w:val="32"/>
        </w:rPr>
        <w:t>臺</w:t>
      </w:r>
      <w:proofErr w:type="gramEnd"/>
      <w:r w:rsidRPr="004A6339">
        <w:rPr>
          <w:rFonts w:eastAsia="標楷體"/>
          <w:b/>
          <w:sz w:val="32"/>
          <w:szCs w:val="32"/>
        </w:rPr>
        <w:t>科技大學專業技術人員聘任要點</w:t>
      </w:r>
    </w:p>
    <w:p w:rsidR="004A6339" w:rsidRPr="00F22009" w:rsidRDefault="004A6339" w:rsidP="004A6339">
      <w:pPr>
        <w:spacing w:line="240" w:lineRule="exact"/>
        <w:jc w:val="right"/>
        <w:rPr>
          <w:rFonts w:eastAsia="標楷體"/>
          <w:sz w:val="20"/>
        </w:rPr>
      </w:pPr>
      <w:r w:rsidRPr="00F22009">
        <w:rPr>
          <w:rFonts w:eastAsia="標楷體"/>
          <w:sz w:val="20"/>
        </w:rPr>
        <w:t>93</w:t>
      </w:r>
      <w:r w:rsidRPr="00F22009">
        <w:rPr>
          <w:rFonts w:eastAsia="標楷體"/>
          <w:sz w:val="20"/>
        </w:rPr>
        <w:t>年</w:t>
      </w:r>
      <w:r w:rsidRPr="00F22009">
        <w:rPr>
          <w:rFonts w:eastAsia="標楷體"/>
          <w:sz w:val="20"/>
        </w:rPr>
        <w:t>6</w:t>
      </w:r>
      <w:r w:rsidRPr="00F22009">
        <w:rPr>
          <w:rFonts w:eastAsia="標楷體"/>
          <w:sz w:val="20"/>
        </w:rPr>
        <w:t>月</w:t>
      </w:r>
      <w:r w:rsidRPr="00F22009">
        <w:rPr>
          <w:rFonts w:eastAsia="標楷體"/>
          <w:sz w:val="20"/>
        </w:rPr>
        <w:t>24</w:t>
      </w:r>
      <w:r w:rsidRPr="00F22009">
        <w:rPr>
          <w:rFonts w:eastAsia="標楷體"/>
          <w:sz w:val="20"/>
        </w:rPr>
        <w:t>日校務會議通過</w:t>
      </w:r>
    </w:p>
    <w:p w:rsidR="004A6339" w:rsidRPr="00F22009" w:rsidRDefault="004A6339" w:rsidP="004A6339">
      <w:pPr>
        <w:spacing w:line="240" w:lineRule="exact"/>
        <w:jc w:val="right"/>
        <w:rPr>
          <w:rFonts w:eastAsia="標楷體"/>
          <w:sz w:val="20"/>
        </w:rPr>
      </w:pPr>
      <w:r w:rsidRPr="00F22009">
        <w:rPr>
          <w:rFonts w:eastAsia="標楷體"/>
          <w:sz w:val="20"/>
        </w:rPr>
        <w:t>93</w:t>
      </w:r>
      <w:r w:rsidRPr="00F22009">
        <w:rPr>
          <w:rFonts w:eastAsia="標楷體"/>
          <w:sz w:val="20"/>
        </w:rPr>
        <w:t>年</w:t>
      </w:r>
      <w:r w:rsidRPr="00F22009">
        <w:rPr>
          <w:rFonts w:eastAsia="標楷體"/>
          <w:sz w:val="20"/>
        </w:rPr>
        <w:t>7</w:t>
      </w:r>
      <w:r w:rsidRPr="00F22009">
        <w:rPr>
          <w:rFonts w:eastAsia="標楷體"/>
          <w:sz w:val="20"/>
        </w:rPr>
        <w:t>月</w:t>
      </w:r>
      <w:r w:rsidRPr="00F22009">
        <w:rPr>
          <w:rFonts w:eastAsia="標楷體"/>
          <w:sz w:val="20"/>
        </w:rPr>
        <w:t>21</w:t>
      </w:r>
      <w:r w:rsidRPr="00F22009">
        <w:rPr>
          <w:rFonts w:eastAsia="標楷體"/>
          <w:sz w:val="20"/>
        </w:rPr>
        <w:t>日</w:t>
      </w:r>
      <w:proofErr w:type="gramStart"/>
      <w:r w:rsidRPr="00F22009">
        <w:rPr>
          <w:rFonts w:eastAsia="標楷體"/>
          <w:sz w:val="20"/>
        </w:rPr>
        <w:t>教育部台技</w:t>
      </w:r>
      <w:proofErr w:type="gramEnd"/>
      <w:r w:rsidRPr="00F22009">
        <w:rPr>
          <w:rFonts w:eastAsia="標楷體"/>
          <w:sz w:val="20"/>
        </w:rPr>
        <w:t>(</w:t>
      </w:r>
      <w:r w:rsidRPr="00F22009">
        <w:rPr>
          <w:rFonts w:eastAsia="標楷體"/>
          <w:sz w:val="20"/>
        </w:rPr>
        <w:t>三</w:t>
      </w:r>
      <w:r w:rsidRPr="00F22009">
        <w:rPr>
          <w:rFonts w:eastAsia="標楷體"/>
          <w:sz w:val="20"/>
        </w:rPr>
        <w:t>)</w:t>
      </w:r>
      <w:r w:rsidRPr="00F22009">
        <w:rPr>
          <w:rFonts w:eastAsia="標楷體"/>
          <w:sz w:val="20"/>
        </w:rPr>
        <w:t>字第</w:t>
      </w:r>
      <w:r w:rsidRPr="00F22009">
        <w:rPr>
          <w:rFonts w:eastAsia="標楷體"/>
          <w:sz w:val="20"/>
        </w:rPr>
        <w:t>093009619</w:t>
      </w:r>
      <w:r w:rsidRPr="00F22009">
        <w:rPr>
          <w:rFonts w:eastAsia="標楷體"/>
          <w:sz w:val="20"/>
        </w:rPr>
        <w:t>號同意備查</w:t>
      </w:r>
      <w:r w:rsidRPr="00F22009">
        <w:rPr>
          <w:rFonts w:eastAsia="標楷體"/>
          <w:sz w:val="20"/>
        </w:rPr>
        <w:t xml:space="preserve"> </w:t>
      </w:r>
    </w:p>
    <w:p w:rsidR="004A6339" w:rsidRPr="00F22009" w:rsidRDefault="004A6339" w:rsidP="004A6339">
      <w:pPr>
        <w:spacing w:line="240" w:lineRule="exact"/>
        <w:jc w:val="right"/>
        <w:rPr>
          <w:rFonts w:eastAsia="標楷體"/>
          <w:sz w:val="20"/>
        </w:rPr>
      </w:pPr>
      <w:r w:rsidRPr="00F22009">
        <w:rPr>
          <w:rFonts w:eastAsia="標楷體"/>
          <w:sz w:val="20"/>
        </w:rPr>
        <w:t>96</w:t>
      </w:r>
      <w:r w:rsidRPr="00F22009">
        <w:rPr>
          <w:rFonts w:eastAsia="標楷體"/>
          <w:sz w:val="20"/>
        </w:rPr>
        <w:t>年</w:t>
      </w:r>
      <w:r w:rsidRPr="00F22009">
        <w:rPr>
          <w:rFonts w:eastAsia="標楷體"/>
          <w:sz w:val="20"/>
        </w:rPr>
        <w:t>3</w:t>
      </w:r>
      <w:r w:rsidRPr="00F22009">
        <w:rPr>
          <w:rFonts w:eastAsia="標楷體"/>
          <w:sz w:val="20"/>
        </w:rPr>
        <w:t>月</w:t>
      </w:r>
      <w:r w:rsidRPr="00F22009">
        <w:rPr>
          <w:rFonts w:eastAsia="標楷體"/>
          <w:sz w:val="20"/>
        </w:rPr>
        <w:t>14</w:t>
      </w:r>
      <w:r w:rsidRPr="00F22009">
        <w:rPr>
          <w:rFonts w:eastAsia="標楷體"/>
          <w:sz w:val="20"/>
        </w:rPr>
        <w:t>日校務會議修正通過</w:t>
      </w:r>
    </w:p>
    <w:p w:rsidR="004A6339" w:rsidRPr="00F22009" w:rsidRDefault="004A6339" w:rsidP="004A6339">
      <w:pPr>
        <w:spacing w:line="240" w:lineRule="exact"/>
        <w:jc w:val="right"/>
        <w:rPr>
          <w:rFonts w:eastAsia="標楷體"/>
          <w:sz w:val="20"/>
        </w:rPr>
      </w:pPr>
      <w:r w:rsidRPr="00F22009">
        <w:rPr>
          <w:rFonts w:eastAsia="標楷體"/>
          <w:sz w:val="20"/>
        </w:rPr>
        <w:t>97</w:t>
      </w:r>
      <w:r w:rsidRPr="00F22009">
        <w:rPr>
          <w:rFonts w:eastAsia="標楷體"/>
          <w:sz w:val="20"/>
        </w:rPr>
        <w:t>年</w:t>
      </w:r>
      <w:r w:rsidRPr="00F22009">
        <w:rPr>
          <w:rFonts w:eastAsia="標楷體"/>
          <w:sz w:val="20"/>
        </w:rPr>
        <w:t>7</w:t>
      </w:r>
      <w:r w:rsidRPr="00F22009">
        <w:rPr>
          <w:rFonts w:eastAsia="標楷體"/>
          <w:sz w:val="20"/>
        </w:rPr>
        <w:t>月</w:t>
      </w:r>
      <w:r w:rsidRPr="00F22009">
        <w:rPr>
          <w:rFonts w:eastAsia="標楷體"/>
          <w:sz w:val="20"/>
        </w:rPr>
        <w:t>9</w:t>
      </w:r>
      <w:r w:rsidRPr="00F22009">
        <w:rPr>
          <w:rFonts w:eastAsia="標楷體"/>
          <w:sz w:val="20"/>
        </w:rPr>
        <w:t>日校務會議修正通過</w:t>
      </w:r>
    </w:p>
    <w:p w:rsidR="004A6339" w:rsidRPr="00F22009" w:rsidRDefault="004A6339" w:rsidP="004A6339">
      <w:pPr>
        <w:spacing w:line="240" w:lineRule="exact"/>
        <w:jc w:val="right"/>
        <w:rPr>
          <w:rFonts w:eastAsia="標楷體"/>
          <w:sz w:val="20"/>
        </w:rPr>
      </w:pPr>
      <w:r w:rsidRPr="00F22009">
        <w:rPr>
          <w:rFonts w:eastAsia="標楷體"/>
          <w:sz w:val="20"/>
        </w:rPr>
        <w:t>101</w:t>
      </w:r>
      <w:r w:rsidRPr="00F22009">
        <w:rPr>
          <w:rFonts w:eastAsia="標楷體"/>
          <w:sz w:val="20"/>
        </w:rPr>
        <w:t>年</w:t>
      </w:r>
      <w:r w:rsidRPr="00F22009">
        <w:rPr>
          <w:rFonts w:eastAsia="標楷體"/>
          <w:sz w:val="20"/>
        </w:rPr>
        <w:t>3</w:t>
      </w:r>
      <w:r w:rsidRPr="00F22009">
        <w:rPr>
          <w:rFonts w:eastAsia="標楷體"/>
          <w:sz w:val="20"/>
        </w:rPr>
        <w:t>月</w:t>
      </w:r>
      <w:r w:rsidRPr="00F22009">
        <w:rPr>
          <w:rFonts w:eastAsia="標楷體"/>
          <w:sz w:val="20"/>
        </w:rPr>
        <w:t>28</w:t>
      </w:r>
      <w:r w:rsidRPr="00F22009">
        <w:rPr>
          <w:rFonts w:eastAsia="標楷體"/>
          <w:sz w:val="20"/>
        </w:rPr>
        <w:t>日校務會議修正通過</w:t>
      </w:r>
    </w:p>
    <w:p w:rsidR="004A6339" w:rsidRPr="00F22009" w:rsidRDefault="004A6339" w:rsidP="004A6339">
      <w:pPr>
        <w:spacing w:line="240" w:lineRule="exact"/>
        <w:jc w:val="right"/>
        <w:rPr>
          <w:rFonts w:eastAsia="標楷體"/>
          <w:sz w:val="20"/>
        </w:rPr>
      </w:pPr>
      <w:r w:rsidRPr="00F22009">
        <w:rPr>
          <w:rFonts w:eastAsia="標楷體"/>
          <w:sz w:val="20"/>
        </w:rPr>
        <w:t>105</w:t>
      </w:r>
      <w:r w:rsidRPr="00F22009">
        <w:rPr>
          <w:rFonts w:eastAsia="標楷體"/>
          <w:sz w:val="20"/>
        </w:rPr>
        <w:t>年</w:t>
      </w:r>
      <w:r w:rsidRPr="00F22009">
        <w:rPr>
          <w:rFonts w:eastAsia="標楷體"/>
          <w:sz w:val="20"/>
        </w:rPr>
        <w:t>6</w:t>
      </w:r>
      <w:r w:rsidRPr="00F22009">
        <w:rPr>
          <w:rFonts w:eastAsia="標楷體"/>
          <w:sz w:val="20"/>
        </w:rPr>
        <w:t>月</w:t>
      </w:r>
      <w:r w:rsidRPr="00F22009">
        <w:rPr>
          <w:rFonts w:eastAsia="標楷體"/>
          <w:sz w:val="20"/>
        </w:rPr>
        <w:t>15</w:t>
      </w:r>
      <w:r w:rsidRPr="00F22009">
        <w:rPr>
          <w:rFonts w:eastAsia="標楷體"/>
          <w:sz w:val="20"/>
        </w:rPr>
        <w:t>日校務會議修正通過</w:t>
      </w:r>
    </w:p>
    <w:p w:rsidR="004A6339" w:rsidRPr="00F22009" w:rsidRDefault="004A6339" w:rsidP="004A6339">
      <w:pPr>
        <w:spacing w:line="240" w:lineRule="exact"/>
        <w:jc w:val="right"/>
        <w:rPr>
          <w:rFonts w:eastAsia="標楷體"/>
          <w:sz w:val="20"/>
        </w:rPr>
      </w:pPr>
      <w:r w:rsidRPr="00F22009">
        <w:rPr>
          <w:rFonts w:eastAsia="標楷體"/>
          <w:sz w:val="20"/>
        </w:rPr>
        <w:t>106</w:t>
      </w:r>
      <w:r w:rsidRPr="00F22009">
        <w:rPr>
          <w:rFonts w:eastAsia="標楷體"/>
          <w:sz w:val="20"/>
        </w:rPr>
        <w:t>年</w:t>
      </w:r>
      <w:r w:rsidRPr="00F22009">
        <w:rPr>
          <w:rFonts w:eastAsia="標楷體"/>
          <w:sz w:val="20"/>
        </w:rPr>
        <w:t>10</w:t>
      </w:r>
      <w:r w:rsidRPr="00F22009">
        <w:rPr>
          <w:rFonts w:eastAsia="標楷體"/>
          <w:sz w:val="20"/>
        </w:rPr>
        <w:t>月</w:t>
      </w:r>
      <w:r w:rsidRPr="00F22009">
        <w:rPr>
          <w:rFonts w:eastAsia="標楷體"/>
          <w:sz w:val="20"/>
        </w:rPr>
        <w:t>25</w:t>
      </w:r>
      <w:r w:rsidRPr="00F22009">
        <w:rPr>
          <w:rFonts w:eastAsia="標楷體"/>
          <w:sz w:val="20"/>
        </w:rPr>
        <w:t>日校務會議修正通過</w:t>
      </w:r>
    </w:p>
    <w:p w:rsidR="004A6339" w:rsidRPr="00F22009" w:rsidRDefault="004A6339" w:rsidP="004A6339">
      <w:pPr>
        <w:spacing w:line="240" w:lineRule="exact"/>
        <w:jc w:val="right"/>
        <w:rPr>
          <w:rFonts w:eastAsia="標楷體"/>
          <w:sz w:val="20"/>
        </w:rPr>
      </w:pPr>
      <w:r w:rsidRPr="00F22009">
        <w:rPr>
          <w:rFonts w:eastAsia="標楷體"/>
          <w:sz w:val="20"/>
        </w:rPr>
        <w:t>107</w:t>
      </w:r>
      <w:r w:rsidRPr="00F22009">
        <w:rPr>
          <w:rFonts w:eastAsia="標楷體"/>
          <w:sz w:val="20"/>
        </w:rPr>
        <w:t>年</w:t>
      </w:r>
      <w:r w:rsidRPr="00F22009">
        <w:rPr>
          <w:rFonts w:eastAsia="標楷體"/>
          <w:sz w:val="20"/>
        </w:rPr>
        <w:t>3</w:t>
      </w:r>
      <w:r w:rsidRPr="00F22009">
        <w:rPr>
          <w:rFonts w:eastAsia="標楷體"/>
          <w:sz w:val="20"/>
        </w:rPr>
        <w:t>月</w:t>
      </w:r>
      <w:r w:rsidRPr="00F22009">
        <w:rPr>
          <w:rFonts w:eastAsia="標楷體"/>
          <w:sz w:val="20"/>
        </w:rPr>
        <w:t>21</w:t>
      </w:r>
      <w:r w:rsidRPr="00F22009">
        <w:rPr>
          <w:rFonts w:eastAsia="標楷體"/>
          <w:sz w:val="20"/>
        </w:rPr>
        <w:t>日校務會議修正通過</w:t>
      </w:r>
    </w:p>
    <w:p w:rsidR="004A6339" w:rsidRDefault="004A6339" w:rsidP="004A6339">
      <w:pPr>
        <w:spacing w:line="240" w:lineRule="exact"/>
        <w:jc w:val="right"/>
        <w:rPr>
          <w:rFonts w:eastAsia="標楷體"/>
          <w:color w:val="000000" w:themeColor="text1"/>
          <w:sz w:val="20"/>
        </w:rPr>
      </w:pPr>
      <w:r w:rsidRPr="004A6339">
        <w:rPr>
          <w:rFonts w:eastAsia="標楷體"/>
          <w:color w:val="000000" w:themeColor="text1"/>
          <w:sz w:val="20"/>
        </w:rPr>
        <w:t>107</w:t>
      </w:r>
      <w:r w:rsidRPr="004A6339">
        <w:rPr>
          <w:rFonts w:eastAsia="標楷體"/>
          <w:color w:val="000000" w:themeColor="text1"/>
          <w:sz w:val="20"/>
        </w:rPr>
        <w:t>年</w:t>
      </w:r>
      <w:r w:rsidR="00521EF4">
        <w:rPr>
          <w:rFonts w:eastAsia="標楷體"/>
          <w:color w:val="000000" w:themeColor="text1"/>
          <w:sz w:val="20"/>
        </w:rPr>
        <w:t>10</w:t>
      </w:r>
      <w:r w:rsidRPr="004A6339">
        <w:rPr>
          <w:rFonts w:eastAsia="標楷體"/>
          <w:color w:val="000000" w:themeColor="text1"/>
          <w:sz w:val="20"/>
        </w:rPr>
        <w:t>月</w:t>
      </w:r>
      <w:r w:rsidR="00521EF4">
        <w:rPr>
          <w:rFonts w:eastAsia="標楷體"/>
          <w:color w:val="000000" w:themeColor="text1"/>
          <w:sz w:val="20"/>
        </w:rPr>
        <w:t>24</w:t>
      </w:r>
      <w:r w:rsidRPr="004A6339">
        <w:rPr>
          <w:rFonts w:eastAsia="標楷體"/>
          <w:color w:val="000000" w:themeColor="text1"/>
          <w:sz w:val="20"/>
        </w:rPr>
        <w:t>日校務會議修正通過</w:t>
      </w:r>
    </w:p>
    <w:p w:rsidR="00835E8E" w:rsidRPr="004A6339" w:rsidRDefault="00835E8E" w:rsidP="004A6339">
      <w:pPr>
        <w:spacing w:line="240" w:lineRule="exact"/>
        <w:jc w:val="right"/>
        <w:rPr>
          <w:rFonts w:eastAsia="標楷體"/>
          <w:color w:val="000000" w:themeColor="text1"/>
          <w:sz w:val="20"/>
        </w:rPr>
      </w:pPr>
    </w:p>
    <w:p w:rsidR="004A6339" w:rsidRPr="00F22009" w:rsidRDefault="004A6339" w:rsidP="00310166">
      <w:pPr>
        <w:pStyle w:val="ab"/>
        <w:numPr>
          <w:ilvl w:val="0"/>
          <w:numId w:val="33"/>
        </w:numPr>
        <w:spacing w:line="320" w:lineRule="exact"/>
        <w:ind w:leftChars="0" w:left="709" w:hanging="503"/>
        <w:jc w:val="both"/>
        <w:rPr>
          <w:rFonts w:ascii="Times New Roman" w:eastAsia="標楷體" w:hAnsi="Times New Roman"/>
        </w:rPr>
      </w:pPr>
      <w:r w:rsidRPr="00F22009">
        <w:rPr>
          <w:rFonts w:ascii="Times New Roman" w:eastAsia="標楷體" w:hAnsi="Times New Roman"/>
        </w:rPr>
        <w:t>南</w:t>
      </w:r>
      <w:proofErr w:type="gramStart"/>
      <w:r w:rsidRPr="00F22009">
        <w:rPr>
          <w:rFonts w:ascii="Times New Roman" w:eastAsia="標楷體" w:hAnsi="Times New Roman"/>
        </w:rPr>
        <w:t>臺</w:t>
      </w:r>
      <w:proofErr w:type="gramEnd"/>
      <w:r w:rsidRPr="00F22009">
        <w:rPr>
          <w:rFonts w:ascii="Times New Roman" w:eastAsia="標楷體" w:hAnsi="Times New Roman"/>
        </w:rPr>
        <w:t>科技大學</w:t>
      </w:r>
      <w:r w:rsidRPr="00F22009">
        <w:rPr>
          <w:rFonts w:ascii="Times New Roman" w:eastAsia="標楷體" w:hAnsi="Times New Roman"/>
        </w:rPr>
        <w:t>(</w:t>
      </w:r>
      <w:r w:rsidRPr="00F22009">
        <w:rPr>
          <w:rFonts w:ascii="Times New Roman" w:eastAsia="標楷體" w:hAnsi="Times New Roman"/>
        </w:rPr>
        <w:t>以下簡稱本校</w:t>
      </w:r>
      <w:r w:rsidRPr="00F22009">
        <w:rPr>
          <w:rFonts w:ascii="Times New Roman" w:eastAsia="標楷體" w:hAnsi="Times New Roman"/>
        </w:rPr>
        <w:t>)</w:t>
      </w:r>
      <w:r w:rsidRPr="00F22009">
        <w:rPr>
          <w:rFonts w:ascii="Times New Roman" w:eastAsia="標楷體" w:hAnsi="Times New Roman"/>
        </w:rPr>
        <w:t>為因應教學需要，依據大學法第十七條及教育部「大學聘任專業技術人員擔任教學辦法」之規定，訂定本要點。</w:t>
      </w:r>
    </w:p>
    <w:p w:rsidR="004A6339" w:rsidRPr="00F22009" w:rsidRDefault="004A6339" w:rsidP="00310166">
      <w:pPr>
        <w:pStyle w:val="ab"/>
        <w:numPr>
          <w:ilvl w:val="0"/>
          <w:numId w:val="33"/>
        </w:numPr>
        <w:spacing w:line="320" w:lineRule="exact"/>
        <w:ind w:leftChars="0" w:left="709" w:hanging="503"/>
        <w:jc w:val="both"/>
        <w:rPr>
          <w:rFonts w:ascii="Times New Roman" w:eastAsia="標楷體" w:hAnsi="Times New Roman"/>
          <w:szCs w:val="24"/>
        </w:rPr>
      </w:pPr>
      <w:r w:rsidRPr="00F22009">
        <w:rPr>
          <w:rFonts w:ascii="Times New Roman" w:eastAsia="標楷體" w:hAnsi="Times New Roman"/>
        </w:rPr>
        <w:t>本要點所稱專業技術人員，係指具有特殊專業實務、造詣或成就，足以勝任教學工作者而言。</w:t>
      </w:r>
    </w:p>
    <w:p w:rsidR="004A6339" w:rsidRPr="00F22009" w:rsidRDefault="004A6339" w:rsidP="004A6339">
      <w:pPr>
        <w:pStyle w:val="ab"/>
        <w:spacing w:line="320" w:lineRule="exact"/>
        <w:ind w:leftChars="0" w:left="686" w:firstLineChars="9" w:firstLine="22"/>
        <w:jc w:val="both"/>
        <w:rPr>
          <w:rFonts w:ascii="Times New Roman" w:eastAsia="標楷體" w:hAnsi="Times New Roman"/>
          <w:bCs/>
          <w:szCs w:val="24"/>
        </w:rPr>
      </w:pPr>
      <w:r w:rsidRPr="00F22009">
        <w:rPr>
          <w:rFonts w:ascii="Times New Roman" w:eastAsia="標楷體" w:hAnsi="Times New Roman"/>
          <w:bCs/>
          <w:szCs w:val="24"/>
        </w:rPr>
        <w:t>專業技術人員之聘任以兼任為原則，但餐旅管理系、資訊傳播系、視覺傳達設計系、多媒體與電腦娛樂科學系、創新產品設計系及流行音樂產業系等符合本要點附表之專業技術領域者，必要時得聘為專任，其必要性應在聘任時詳細敘明，並列為受聘教師有約定任務時之條件之</w:t>
      </w:r>
      <w:proofErr w:type="gramStart"/>
      <w:r w:rsidRPr="00F22009">
        <w:rPr>
          <w:rFonts w:ascii="Times New Roman" w:eastAsia="標楷體" w:hAnsi="Times New Roman"/>
          <w:bCs/>
          <w:szCs w:val="24"/>
        </w:rPr>
        <w:t>一</w:t>
      </w:r>
      <w:proofErr w:type="gramEnd"/>
      <w:r w:rsidRPr="00F22009">
        <w:rPr>
          <w:rFonts w:ascii="Times New Roman" w:eastAsia="標楷體" w:hAnsi="Times New Roman"/>
          <w:bCs/>
          <w:szCs w:val="24"/>
        </w:rPr>
        <w:t>。</w:t>
      </w:r>
    </w:p>
    <w:p w:rsidR="004A6339" w:rsidRPr="00F22009" w:rsidRDefault="004A6339" w:rsidP="004A6339">
      <w:pPr>
        <w:pStyle w:val="ab"/>
        <w:spacing w:line="320" w:lineRule="exact"/>
        <w:ind w:leftChars="0" w:left="686" w:firstLineChars="9" w:firstLine="22"/>
        <w:jc w:val="both"/>
        <w:rPr>
          <w:rFonts w:ascii="Times New Roman" w:eastAsia="標楷體" w:hAnsi="Times New Roman"/>
        </w:rPr>
      </w:pPr>
      <w:r w:rsidRPr="00F22009">
        <w:rPr>
          <w:rFonts w:ascii="Times New Roman" w:eastAsia="標楷體" w:hAnsi="Times New Roman"/>
          <w:bCs/>
          <w:szCs w:val="24"/>
        </w:rPr>
        <w:t>前項各系聘任專任專業技術人員以該系專任教師總數八分之一為原則。</w:t>
      </w:r>
    </w:p>
    <w:p w:rsidR="004A6339" w:rsidRPr="00F22009" w:rsidRDefault="004A6339" w:rsidP="00310166">
      <w:pPr>
        <w:pStyle w:val="ab"/>
        <w:numPr>
          <w:ilvl w:val="0"/>
          <w:numId w:val="33"/>
        </w:numPr>
        <w:spacing w:line="320" w:lineRule="exact"/>
        <w:ind w:leftChars="0" w:left="709" w:hanging="503"/>
        <w:jc w:val="both"/>
        <w:rPr>
          <w:rFonts w:ascii="Times New Roman" w:eastAsia="標楷體" w:hAnsi="Times New Roman"/>
        </w:rPr>
      </w:pPr>
      <w:r w:rsidRPr="00F22009">
        <w:rPr>
          <w:rFonts w:ascii="Times New Roman" w:eastAsia="標楷體" w:hAnsi="Times New Roman"/>
        </w:rPr>
        <w:t>專業技術人員比照教師職務等級，分教授、副教授、助理教授及講師等四級。</w:t>
      </w:r>
    </w:p>
    <w:p w:rsidR="004A6339" w:rsidRPr="00F22009" w:rsidRDefault="004A6339" w:rsidP="00310166">
      <w:pPr>
        <w:pStyle w:val="ab"/>
        <w:numPr>
          <w:ilvl w:val="0"/>
          <w:numId w:val="33"/>
        </w:numPr>
        <w:spacing w:line="320" w:lineRule="exact"/>
        <w:ind w:leftChars="0" w:left="709" w:hanging="503"/>
        <w:jc w:val="both"/>
        <w:rPr>
          <w:rFonts w:ascii="Times New Roman" w:eastAsia="標楷體" w:hAnsi="Times New Roman"/>
        </w:rPr>
      </w:pPr>
      <w:r w:rsidRPr="00F22009">
        <w:rPr>
          <w:rFonts w:ascii="Times New Roman" w:eastAsia="標楷體" w:hAnsi="Times New Roman"/>
        </w:rPr>
        <w:t>教授級專業技術人員應具下列資格之</w:t>
      </w:r>
      <w:proofErr w:type="gramStart"/>
      <w:r w:rsidRPr="00F22009">
        <w:rPr>
          <w:rFonts w:ascii="Times New Roman" w:eastAsia="標楷體" w:hAnsi="Times New Roman"/>
        </w:rPr>
        <w:t>一</w:t>
      </w:r>
      <w:proofErr w:type="gramEnd"/>
      <w:r w:rsidRPr="00F22009">
        <w:rPr>
          <w:rFonts w:ascii="Times New Roman" w:eastAsia="標楷體" w:hAnsi="Times New Roman"/>
        </w:rPr>
        <w:t>：</w:t>
      </w:r>
    </w:p>
    <w:p w:rsidR="004A6339" w:rsidRPr="00F22009" w:rsidRDefault="004A6339" w:rsidP="00310166">
      <w:pPr>
        <w:pStyle w:val="ab"/>
        <w:numPr>
          <w:ilvl w:val="0"/>
          <w:numId w:val="34"/>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t>曾任副教授級專業技術人員三年以上，成績優良，並有具體事蹟者。</w:t>
      </w:r>
    </w:p>
    <w:p w:rsidR="004A6339" w:rsidRPr="00F22009" w:rsidRDefault="004A6339" w:rsidP="00310166">
      <w:pPr>
        <w:pStyle w:val="ab"/>
        <w:numPr>
          <w:ilvl w:val="0"/>
          <w:numId w:val="34"/>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t>曾從事與應聘科目性質相關之專業性工作十五年以上且獲有國際級大獎，具有特殊造詣或成就者，其年限得酌減三年。</w:t>
      </w:r>
    </w:p>
    <w:p w:rsidR="004A6339" w:rsidRPr="00F22009" w:rsidRDefault="004A6339" w:rsidP="00310166">
      <w:pPr>
        <w:pStyle w:val="ab"/>
        <w:numPr>
          <w:ilvl w:val="0"/>
          <w:numId w:val="33"/>
        </w:numPr>
        <w:spacing w:line="320" w:lineRule="exact"/>
        <w:ind w:leftChars="0" w:left="709" w:hanging="503"/>
        <w:jc w:val="both"/>
        <w:rPr>
          <w:rFonts w:ascii="Times New Roman" w:eastAsia="標楷體" w:hAnsi="Times New Roman"/>
        </w:rPr>
      </w:pPr>
      <w:r w:rsidRPr="00F22009">
        <w:rPr>
          <w:rFonts w:ascii="Times New Roman" w:eastAsia="標楷體" w:hAnsi="Times New Roman"/>
        </w:rPr>
        <w:t>副教授級專業技術人員應具有下列資格之</w:t>
      </w:r>
      <w:proofErr w:type="gramStart"/>
      <w:r w:rsidRPr="00F22009">
        <w:rPr>
          <w:rFonts w:ascii="Times New Roman" w:eastAsia="標楷體" w:hAnsi="Times New Roman"/>
        </w:rPr>
        <w:t>一</w:t>
      </w:r>
      <w:proofErr w:type="gramEnd"/>
      <w:r w:rsidRPr="00F22009">
        <w:rPr>
          <w:rFonts w:ascii="Times New Roman" w:eastAsia="標楷體" w:hAnsi="Times New Roman"/>
        </w:rPr>
        <w:t>：</w:t>
      </w:r>
    </w:p>
    <w:p w:rsidR="004A6339" w:rsidRPr="00F22009" w:rsidRDefault="004A6339" w:rsidP="00310166">
      <w:pPr>
        <w:pStyle w:val="ab"/>
        <w:numPr>
          <w:ilvl w:val="0"/>
          <w:numId w:val="35"/>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t>曾任助理教授級專業技術人員三年以上，成績優良，並有具體事蹟者。</w:t>
      </w:r>
    </w:p>
    <w:p w:rsidR="004A6339" w:rsidRPr="00F22009" w:rsidRDefault="004A6339" w:rsidP="00310166">
      <w:pPr>
        <w:pStyle w:val="ab"/>
        <w:numPr>
          <w:ilvl w:val="0"/>
          <w:numId w:val="35"/>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t>曾從事與應聘科目性質相關之專業性工作十二年以上且獲有國際級大獎或相當技術程度，具有特殊造詣或成就者。但獲有國際級大獎者，其年限得酌減三年。</w:t>
      </w:r>
    </w:p>
    <w:p w:rsidR="004A6339" w:rsidRPr="00F22009" w:rsidRDefault="004A6339" w:rsidP="00310166">
      <w:pPr>
        <w:pStyle w:val="ab"/>
        <w:numPr>
          <w:ilvl w:val="0"/>
          <w:numId w:val="33"/>
        </w:numPr>
        <w:spacing w:line="320" w:lineRule="exact"/>
        <w:ind w:leftChars="0" w:left="709" w:hanging="503"/>
        <w:jc w:val="both"/>
        <w:rPr>
          <w:rFonts w:ascii="Times New Roman" w:eastAsia="標楷體" w:hAnsi="Times New Roman"/>
        </w:rPr>
      </w:pPr>
      <w:r w:rsidRPr="00F22009">
        <w:rPr>
          <w:rFonts w:ascii="Times New Roman" w:eastAsia="標楷體" w:hAnsi="Times New Roman"/>
        </w:rPr>
        <w:t>助理教授級專業技術人員應具有下列資格之</w:t>
      </w:r>
      <w:proofErr w:type="gramStart"/>
      <w:r w:rsidRPr="00F22009">
        <w:rPr>
          <w:rFonts w:ascii="Times New Roman" w:eastAsia="標楷體" w:hAnsi="Times New Roman"/>
        </w:rPr>
        <w:t>一</w:t>
      </w:r>
      <w:proofErr w:type="gramEnd"/>
      <w:r w:rsidRPr="00F22009">
        <w:rPr>
          <w:rFonts w:ascii="Times New Roman" w:eastAsia="標楷體" w:hAnsi="Times New Roman"/>
        </w:rPr>
        <w:t>：</w:t>
      </w:r>
    </w:p>
    <w:p w:rsidR="004A6339" w:rsidRPr="00F22009" w:rsidRDefault="004A6339" w:rsidP="00310166">
      <w:pPr>
        <w:pStyle w:val="ab"/>
        <w:numPr>
          <w:ilvl w:val="0"/>
          <w:numId w:val="36"/>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t>曾任講師級專業技術人員三年以上，成績優良，並有具體事蹟者。</w:t>
      </w:r>
    </w:p>
    <w:p w:rsidR="004A6339" w:rsidRPr="00F22009" w:rsidRDefault="004A6339" w:rsidP="00310166">
      <w:pPr>
        <w:pStyle w:val="ab"/>
        <w:numPr>
          <w:ilvl w:val="0"/>
          <w:numId w:val="36"/>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t>曾從事與應聘科目性質相關之專業性工作九年以上且獲有國際級大獎或相當技術程度，具有特殊造詣或成就者。但獲有國際級大獎者，其年限得酌減三年。</w:t>
      </w:r>
    </w:p>
    <w:p w:rsidR="004A6339" w:rsidRPr="00F22009" w:rsidRDefault="004A6339" w:rsidP="00310166">
      <w:pPr>
        <w:pStyle w:val="ab"/>
        <w:numPr>
          <w:ilvl w:val="0"/>
          <w:numId w:val="33"/>
        </w:numPr>
        <w:spacing w:line="320" w:lineRule="exact"/>
        <w:ind w:leftChars="0" w:left="709" w:hanging="503"/>
        <w:jc w:val="both"/>
        <w:rPr>
          <w:rFonts w:ascii="Times New Roman" w:eastAsia="標楷體" w:hAnsi="Times New Roman"/>
        </w:rPr>
      </w:pPr>
      <w:r w:rsidRPr="00F22009">
        <w:rPr>
          <w:rFonts w:ascii="Times New Roman" w:eastAsia="標楷體" w:hAnsi="Times New Roman"/>
        </w:rPr>
        <w:t>講師級專業技術人員之資格，應曾從事與應聘科目性質相關之專業性工作六年以上，具有特殊造詣或成就者。但獲有國際級大獎者或經認定確屬學校教學需要之人才者，其年限得酌減之。</w:t>
      </w:r>
    </w:p>
    <w:p w:rsidR="004A6339" w:rsidRPr="00F22009" w:rsidRDefault="004A6339" w:rsidP="00310166">
      <w:pPr>
        <w:pStyle w:val="ab"/>
        <w:numPr>
          <w:ilvl w:val="0"/>
          <w:numId w:val="33"/>
        </w:numPr>
        <w:spacing w:line="320" w:lineRule="exact"/>
        <w:ind w:leftChars="0" w:left="709" w:hanging="503"/>
        <w:jc w:val="both"/>
        <w:rPr>
          <w:rFonts w:ascii="Times New Roman" w:eastAsia="標楷體" w:hAnsi="Times New Roman"/>
        </w:rPr>
      </w:pPr>
      <w:r w:rsidRPr="00F22009">
        <w:rPr>
          <w:rFonts w:ascii="Times New Roman" w:eastAsia="標楷體" w:hAnsi="Times New Roman"/>
        </w:rPr>
        <w:t>本要點所稱曾任各級專業技術人員年資及專業性工作年資，係指專任年資，兼任年資，</w:t>
      </w:r>
      <w:proofErr w:type="gramStart"/>
      <w:r w:rsidRPr="00F22009">
        <w:rPr>
          <w:rFonts w:ascii="Times New Roman" w:eastAsia="標楷體" w:hAnsi="Times New Roman"/>
        </w:rPr>
        <w:t>採</w:t>
      </w:r>
      <w:proofErr w:type="gramEnd"/>
      <w:r w:rsidRPr="00F22009">
        <w:rPr>
          <w:rFonts w:ascii="Times New Roman" w:eastAsia="標楷體" w:hAnsi="Times New Roman"/>
        </w:rPr>
        <w:t>折半計算。</w:t>
      </w:r>
    </w:p>
    <w:p w:rsidR="004A6339" w:rsidRPr="00F22009" w:rsidRDefault="004A6339" w:rsidP="00310166">
      <w:pPr>
        <w:pStyle w:val="ab"/>
        <w:numPr>
          <w:ilvl w:val="0"/>
          <w:numId w:val="33"/>
        </w:numPr>
        <w:spacing w:line="320" w:lineRule="exact"/>
        <w:ind w:leftChars="0" w:left="709" w:hanging="503"/>
        <w:jc w:val="both"/>
        <w:rPr>
          <w:rFonts w:ascii="Times New Roman" w:eastAsia="標楷體" w:hAnsi="Times New Roman"/>
        </w:rPr>
      </w:pPr>
      <w:r w:rsidRPr="00F22009">
        <w:rPr>
          <w:rFonts w:ascii="Times New Roman" w:eastAsia="標楷體" w:hAnsi="Times New Roman"/>
        </w:rPr>
        <w:t>本要點所稱國際級大獎，係指該競賽有七個國家以上人員參加；專業技術人員之資格審定及聘任須經系、院及學校教師評審委員會逐級審議通過後行之，其聘期比照本校教師之規定。</w:t>
      </w:r>
    </w:p>
    <w:p w:rsidR="004A6339" w:rsidRPr="00F22009" w:rsidRDefault="004A6339" w:rsidP="00310166">
      <w:pPr>
        <w:pStyle w:val="ab"/>
        <w:numPr>
          <w:ilvl w:val="0"/>
          <w:numId w:val="33"/>
        </w:numPr>
        <w:spacing w:line="320" w:lineRule="exact"/>
        <w:ind w:leftChars="0" w:left="709" w:hanging="503"/>
        <w:jc w:val="both"/>
        <w:rPr>
          <w:rFonts w:ascii="Times New Roman" w:eastAsia="標楷體" w:hAnsi="Times New Roman"/>
        </w:rPr>
      </w:pPr>
      <w:r w:rsidRPr="00F22009">
        <w:rPr>
          <w:rFonts w:ascii="Times New Roman" w:eastAsia="標楷體" w:hAnsi="Times New Roman"/>
        </w:rPr>
        <w:t>本要點所稱成績優良具體事蹟、特殊造詣或成就證明之認定應符合下列條件之一，且有證明文件或紀錄者。</w:t>
      </w:r>
    </w:p>
    <w:p w:rsidR="004A6339" w:rsidRPr="00F22009" w:rsidRDefault="004A6339" w:rsidP="00310166">
      <w:pPr>
        <w:pStyle w:val="ab"/>
        <w:numPr>
          <w:ilvl w:val="0"/>
          <w:numId w:val="37"/>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t>最近五年內在相關專業領域內有傑出表現，符合教學需要。</w:t>
      </w:r>
    </w:p>
    <w:p w:rsidR="004A6339" w:rsidRPr="00F22009" w:rsidRDefault="004A6339" w:rsidP="00310166">
      <w:pPr>
        <w:pStyle w:val="ab"/>
        <w:numPr>
          <w:ilvl w:val="0"/>
          <w:numId w:val="37"/>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t>曾獲國內外具公信力、權威性機構之大獎。</w:t>
      </w:r>
    </w:p>
    <w:p w:rsidR="004A6339" w:rsidRPr="00F22009" w:rsidRDefault="004A6339" w:rsidP="00310166">
      <w:pPr>
        <w:pStyle w:val="ab"/>
        <w:numPr>
          <w:ilvl w:val="0"/>
          <w:numId w:val="37"/>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t>作品或相關著作受邀國際、國內重要機構展覽、典藏。</w:t>
      </w:r>
    </w:p>
    <w:p w:rsidR="004A6339" w:rsidRPr="00F22009" w:rsidRDefault="004A6339" w:rsidP="00310166">
      <w:pPr>
        <w:pStyle w:val="ab"/>
        <w:numPr>
          <w:ilvl w:val="0"/>
          <w:numId w:val="37"/>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t>作品或相關著作受國內、國際之專業評論公開肯定。</w:t>
      </w:r>
    </w:p>
    <w:p w:rsidR="004A6339" w:rsidRPr="00F22009" w:rsidRDefault="004A6339" w:rsidP="00310166">
      <w:pPr>
        <w:pStyle w:val="ab"/>
        <w:numPr>
          <w:ilvl w:val="0"/>
          <w:numId w:val="37"/>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t>最近五年內至少有三場以上公開展演紀錄。</w:t>
      </w:r>
    </w:p>
    <w:p w:rsidR="004A6339" w:rsidRPr="00F22009" w:rsidRDefault="004A6339" w:rsidP="00310166">
      <w:pPr>
        <w:pStyle w:val="ab"/>
        <w:numPr>
          <w:ilvl w:val="0"/>
          <w:numId w:val="37"/>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t>最近五年內至少五次以上應邀策劃與任教相關科目之大型活動或展演。</w:t>
      </w:r>
    </w:p>
    <w:p w:rsidR="004A6339" w:rsidRPr="00F22009" w:rsidRDefault="004A6339" w:rsidP="00310166">
      <w:pPr>
        <w:pStyle w:val="ab"/>
        <w:numPr>
          <w:ilvl w:val="0"/>
          <w:numId w:val="37"/>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lastRenderedPageBreak/>
        <w:t>曾任上市</w:t>
      </w:r>
      <w:r w:rsidRPr="00F22009">
        <w:rPr>
          <w:rFonts w:ascii="Times New Roman" w:eastAsia="標楷體" w:hAnsi="Times New Roman"/>
        </w:rPr>
        <w:t>(</w:t>
      </w:r>
      <w:r w:rsidRPr="00F22009">
        <w:rPr>
          <w:rFonts w:ascii="Times New Roman" w:eastAsia="標楷體" w:hAnsi="Times New Roman"/>
        </w:rPr>
        <w:t>櫃</w:t>
      </w:r>
      <w:r w:rsidRPr="00F22009">
        <w:rPr>
          <w:rFonts w:ascii="Times New Roman" w:eastAsia="標楷體" w:hAnsi="Times New Roman"/>
        </w:rPr>
        <w:t>)</w:t>
      </w:r>
      <w:r w:rsidRPr="00F22009">
        <w:rPr>
          <w:rFonts w:ascii="Times New Roman" w:eastAsia="標楷體" w:hAnsi="Times New Roman"/>
        </w:rPr>
        <w:t>公司副總經理</w:t>
      </w:r>
      <w:r w:rsidRPr="00F22009">
        <w:rPr>
          <w:rFonts w:ascii="Times New Roman" w:eastAsia="標楷體" w:hAnsi="Times New Roman"/>
        </w:rPr>
        <w:t>(</w:t>
      </w:r>
      <w:r w:rsidRPr="00F22009">
        <w:rPr>
          <w:rFonts w:ascii="Times New Roman" w:eastAsia="標楷體" w:hAnsi="Times New Roman"/>
        </w:rPr>
        <w:t>含</w:t>
      </w:r>
      <w:r w:rsidRPr="00F22009">
        <w:rPr>
          <w:rFonts w:ascii="Times New Roman" w:eastAsia="標楷體" w:hAnsi="Times New Roman"/>
        </w:rPr>
        <w:t>)</w:t>
      </w:r>
      <w:r w:rsidRPr="00F22009">
        <w:rPr>
          <w:rFonts w:ascii="Times New Roman" w:eastAsia="標楷體" w:hAnsi="Times New Roman"/>
        </w:rPr>
        <w:t>以上職務滿二年且經營績效卓著。</w:t>
      </w:r>
    </w:p>
    <w:p w:rsidR="004A6339" w:rsidRPr="00F22009" w:rsidRDefault="004A6339" w:rsidP="00310166">
      <w:pPr>
        <w:pStyle w:val="ab"/>
        <w:numPr>
          <w:ilvl w:val="0"/>
          <w:numId w:val="37"/>
        </w:numPr>
        <w:spacing w:line="320" w:lineRule="exact"/>
        <w:ind w:leftChars="0" w:left="1134" w:hanging="425"/>
        <w:jc w:val="both"/>
        <w:rPr>
          <w:rFonts w:ascii="Times New Roman" w:eastAsia="標楷體" w:hAnsi="Times New Roman"/>
        </w:rPr>
      </w:pPr>
      <w:r w:rsidRPr="00F22009">
        <w:rPr>
          <w:rFonts w:ascii="Times New Roman" w:eastAsia="標楷體" w:hAnsi="Times New Roman"/>
        </w:rPr>
        <w:t>曾獲頒民族藝術薪傳獎或民族藝師。</w:t>
      </w:r>
    </w:p>
    <w:p w:rsidR="004A6339" w:rsidRPr="00F22009" w:rsidRDefault="004A6339" w:rsidP="004A6339">
      <w:pPr>
        <w:spacing w:line="320" w:lineRule="exact"/>
        <w:ind w:left="709"/>
        <w:jc w:val="both"/>
        <w:rPr>
          <w:rFonts w:eastAsia="標楷體"/>
        </w:rPr>
      </w:pPr>
      <w:r w:rsidRPr="00F22009">
        <w:rPr>
          <w:rFonts w:eastAsia="標楷體"/>
        </w:rPr>
        <w:t>前項專業技術人員之成績優良具體事蹟、特殊造詣或成就應經三級教評會認定，並得由各系、所（中心）依不同專業領域自訂標準，提院、學校教師評審委員會討論通過後簽請校長核定實施。</w:t>
      </w:r>
    </w:p>
    <w:p w:rsidR="004A6339" w:rsidRPr="00521EF4" w:rsidRDefault="00835E8E" w:rsidP="00310166">
      <w:pPr>
        <w:pStyle w:val="ab"/>
        <w:numPr>
          <w:ilvl w:val="0"/>
          <w:numId w:val="33"/>
        </w:numPr>
        <w:spacing w:line="320" w:lineRule="exact"/>
        <w:ind w:leftChars="0" w:left="993" w:hanging="787"/>
        <w:jc w:val="both"/>
        <w:rPr>
          <w:rFonts w:ascii="Times New Roman" w:eastAsia="標楷體" w:hAnsi="Times New Roman"/>
        </w:rPr>
      </w:pPr>
      <w:r w:rsidRPr="00521EF4">
        <w:rPr>
          <w:rFonts w:ascii="Times New Roman" w:eastAsia="標楷體" w:hAnsi="Times New Roman"/>
        </w:rPr>
        <w:t>新聘專業技術人員之審查流程比照本校新聘教師之規定辦理，由人事室將其成績優良具體事蹟、特殊造詣或</w:t>
      </w:r>
      <w:proofErr w:type="gramStart"/>
      <w:r w:rsidRPr="00521EF4">
        <w:rPr>
          <w:rFonts w:ascii="Times New Roman" w:eastAsia="標楷體" w:hAnsi="Times New Roman"/>
        </w:rPr>
        <w:t>成就送校內外</w:t>
      </w:r>
      <w:proofErr w:type="gramEnd"/>
      <w:r w:rsidRPr="00521EF4">
        <w:rPr>
          <w:rFonts w:ascii="Times New Roman" w:eastAsia="標楷體" w:hAnsi="Times New Roman"/>
        </w:rPr>
        <w:t>相關領域學者、專家審查。通過標準如下</w:t>
      </w:r>
      <w:r w:rsidR="004A6339" w:rsidRPr="00521EF4">
        <w:rPr>
          <w:rFonts w:ascii="Times New Roman" w:eastAsia="標楷體" w:hAnsi="Times New Roman"/>
        </w:rPr>
        <w:t>：</w:t>
      </w:r>
    </w:p>
    <w:p w:rsidR="004A6339" w:rsidRPr="00521EF4" w:rsidRDefault="00835E8E" w:rsidP="00310166">
      <w:pPr>
        <w:pStyle w:val="ab"/>
        <w:numPr>
          <w:ilvl w:val="0"/>
          <w:numId w:val="38"/>
        </w:numPr>
        <w:spacing w:line="320" w:lineRule="exact"/>
        <w:ind w:leftChars="413" w:left="1416" w:hanging="425"/>
        <w:jc w:val="both"/>
        <w:rPr>
          <w:rFonts w:ascii="Times New Roman" w:eastAsia="標楷體" w:hAnsi="Times New Roman"/>
        </w:rPr>
      </w:pPr>
      <w:r w:rsidRPr="00521EF4">
        <w:rPr>
          <w:rFonts w:ascii="Times New Roman" w:eastAsia="標楷體" w:hAnsi="Times New Roman"/>
          <w:szCs w:val="24"/>
        </w:rPr>
        <w:t>專任專業技術人員應一次送</w:t>
      </w:r>
      <w:r w:rsidRPr="00521EF4">
        <w:rPr>
          <w:rFonts w:ascii="Times New Roman" w:eastAsia="標楷體" w:hAnsi="Times New Roman"/>
          <w:szCs w:val="24"/>
        </w:rPr>
        <w:t>6</w:t>
      </w:r>
      <w:r w:rsidRPr="00521EF4">
        <w:rPr>
          <w:rFonts w:ascii="Times New Roman" w:eastAsia="標楷體" w:hAnsi="Times New Roman"/>
          <w:szCs w:val="24"/>
        </w:rPr>
        <w:t>位學者、業界專家審查，</w:t>
      </w:r>
      <w:r w:rsidR="00EF51DB" w:rsidRPr="00521EF4">
        <w:rPr>
          <w:rFonts w:ascii="Times New Roman" w:eastAsia="標楷體" w:hAnsi="Times New Roman" w:hint="eastAsia"/>
          <w:szCs w:val="24"/>
        </w:rPr>
        <w:t>其中</w:t>
      </w:r>
      <w:r w:rsidRPr="00521EF4">
        <w:rPr>
          <w:rFonts w:ascii="Times New Roman" w:eastAsia="標楷體" w:hAnsi="Times New Roman"/>
          <w:szCs w:val="24"/>
        </w:rPr>
        <w:t>3</w:t>
      </w:r>
      <w:r w:rsidR="00EF51DB" w:rsidRPr="00521EF4">
        <w:rPr>
          <w:rFonts w:ascii="Times New Roman" w:eastAsia="標楷體" w:hAnsi="Times New Roman" w:hint="eastAsia"/>
          <w:szCs w:val="24"/>
        </w:rPr>
        <w:t>位</w:t>
      </w:r>
      <w:r w:rsidRPr="00521EF4">
        <w:rPr>
          <w:rFonts w:ascii="Times New Roman" w:eastAsia="標楷體" w:hAnsi="Times New Roman"/>
          <w:szCs w:val="24"/>
        </w:rPr>
        <w:t>為校內系外審查委員，</w:t>
      </w:r>
      <w:r w:rsidR="00EF51DB" w:rsidRPr="00521EF4">
        <w:rPr>
          <w:rFonts w:ascii="Times New Roman" w:eastAsia="標楷體" w:hAnsi="Times New Roman" w:hint="eastAsia"/>
          <w:szCs w:val="24"/>
        </w:rPr>
        <w:t>3</w:t>
      </w:r>
      <w:r w:rsidR="00EF51DB" w:rsidRPr="00521EF4">
        <w:rPr>
          <w:rFonts w:ascii="Times New Roman" w:eastAsia="標楷體" w:hAnsi="Times New Roman" w:hint="eastAsia"/>
          <w:szCs w:val="24"/>
        </w:rPr>
        <w:t>位為</w:t>
      </w:r>
      <w:r w:rsidRPr="00521EF4">
        <w:rPr>
          <w:rFonts w:ascii="Times New Roman" w:eastAsia="標楷體" w:hAnsi="Times New Roman"/>
          <w:szCs w:val="24"/>
        </w:rPr>
        <w:t>校外審查委員。至少</w:t>
      </w:r>
      <w:r w:rsidRPr="00521EF4">
        <w:rPr>
          <w:rFonts w:ascii="Times New Roman" w:eastAsia="標楷體" w:hAnsi="Times New Roman"/>
          <w:szCs w:val="24"/>
        </w:rPr>
        <w:t>5</w:t>
      </w:r>
      <w:r w:rsidRPr="00521EF4">
        <w:rPr>
          <w:rFonts w:ascii="Times New Roman" w:eastAsia="標楷體" w:hAnsi="Times New Roman"/>
          <w:szCs w:val="24"/>
        </w:rPr>
        <w:t>位審查委員之</w:t>
      </w:r>
      <w:proofErr w:type="gramStart"/>
      <w:r w:rsidRPr="00521EF4">
        <w:rPr>
          <w:rFonts w:ascii="Times New Roman" w:eastAsia="標楷體" w:hAnsi="Times New Roman"/>
          <w:szCs w:val="24"/>
        </w:rPr>
        <w:t>評分均達</w:t>
      </w:r>
      <w:r w:rsidRPr="00521EF4">
        <w:rPr>
          <w:rFonts w:ascii="Times New Roman" w:eastAsia="標楷體" w:hAnsi="Times New Roman"/>
          <w:szCs w:val="24"/>
        </w:rPr>
        <w:t>70</w:t>
      </w:r>
      <w:r w:rsidRPr="00521EF4">
        <w:rPr>
          <w:rFonts w:ascii="Times New Roman" w:eastAsia="標楷體" w:hAnsi="Times New Roman"/>
          <w:szCs w:val="24"/>
        </w:rPr>
        <w:t>分</w:t>
      </w:r>
      <w:proofErr w:type="gramEnd"/>
      <w:r w:rsidRPr="00521EF4">
        <w:rPr>
          <w:rFonts w:ascii="Times New Roman" w:eastAsia="標楷體" w:hAnsi="Times New Roman"/>
        </w:rPr>
        <w:t>(</w:t>
      </w:r>
      <w:r w:rsidRPr="00521EF4">
        <w:rPr>
          <w:rFonts w:ascii="Times New Roman" w:eastAsia="標楷體" w:hAnsi="Times New Roman"/>
        </w:rPr>
        <w:t>含</w:t>
      </w:r>
      <w:r w:rsidRPr="00521EF4">
        <w:rPr>
          <w:rFonts w:ascii="Times New Roman" w:eastAsia="標楷體" w:hAnsi="Times New Roman"/>
        </w:rPr>
        <w:t>)</w:t>
      </w:r>
      <w:r w:rsidRPr="00521EF4">
        <w:rPr>
          <w:rFonts w:ascii="Times New Roman" w:eastAsia="標楷體" w:hAnsi="Times New Roman"/>
        </w:rPr>
        <w:t>以上。不</w:t>
      </w:r>
      <w:proofErr w:type="gramStart"/>
      <w:r w:rsidRPr="00521EF4">
        <w:rPr>
          <w:rFonts w:ascii="Times New Roman" w:eastAsia="標楷體" w:hAnsi="Times New Roman"/>
        </w:rPr>
        <w:t>採</w:t>
      </w:r>
      <w:proofErr w:type="gramEnd"/>
      <w:r w:rsidRPr="00521EF4">
        <w:rPr>
          <w:rFonts w:ascii="Times New Roman" w:eastAsia="標楷體" w:hAnsi="Times New Roman"/>
        </w:rPr>
        <w:t>計最高及最低評分，</w:t>
      </w:r>
      <w:proofErr w:type="gramStart"/>
      <w:r w:rsidRPr="00521EF4">
        <w:rPr>
          <w:rFonts w:ascii="Times New Roman" w:eastAsia="標楷體" w:hAnsi="Times New Roman"/>
        </w:rPr>
        <w:t>採</w:t>
      </w:r>
      <w:proofErr w:type="gramEnd"/>
      <w:r w:rsidRPr="00521EF4">
        <w:rPr>
          <w:rFonts w:ascii="Times New Roman" w:eastAsia="標楷體" w:hAnsi="Times New Roman"/>
        </w:rPr>
        <w:t>計中間四位之評分平均達</w:t>
      </w:r>
      <w:r w:rsidRPr="00521EF4">
        <w:rPr>
          <w:rFonts w:ascii="Times New Roman" w:eastAsia="標楷體" w:hAnsi="Times New Roman"/>
        </w:rPr>
        <w:t>75</w:t>
      </w:r>
      <w:r w:rsidRPr="00521EF4">
        <w:rPr>
          <w:rFonts w:ascii="Times New Roman" w:eastAsia="標楷體" w:hAnsi="Times New Roman"/>
        </w:rPr>
        <w:t>分</w:t>
      </w:r>
      <w:r w:rsidRPr="00521EF4">
        <w:rPr>
          <w:rFonts w:ascii="Times New Roman" w:eastAsia="標楷體" w:hAnsi="Times New Roman"/>
        </w:rPr>
        <w:t>(</w:t>
      </w:r>
      <w:r w:rsidRPr="00521EF4">
        <w:rPr>
          <w:rFonts w:ascii="Times New Roman" w:eastAsia="標楷體" w:hAnsi="Times New Roman"/>
        </w:rPr>
        <w:t>含</w:t>
      </w:r>
      <w:r w:rsidRPr="00521EF4">
        <w:rPr>
          <w:rFonts w:ascii="Times New Roman" w:eastAsia="標楷體" w:hAnsi="Times New Roman"/>
        </w:rPr>
        <w:t>)</w:t>
      </w:r>
      <w:r w:rsidRPr="00521EF4">
        <w:rPr>
          <w:rFonts w:ascii="Times New Roman" w:eastAsia="標楷體" w:hAnsi="Times New Roman"/>
        </w:rPr>
        <w:t>以上者，</w:t>
      </w:r>
      <w:r w:rsidRPr="00521EF4">
        <w:rPr>
          <w:rFonts w:ascii="Times New Roman" w:eastAsia="標楷體" w:hAnsi="Times New Roman"/>
          <w:szCs w:val="24"/>
        </w:rPr>
        <w:t>視為審查通過</w:t>
      </w:r>
      <w:r w:rsidR="004A6339" w:rsidRPr="00521EF4">
        <w:rPr>
          <w:rFonts w:ascii="Times New Roman" w:eastAsia="標楷體" w:hAnsi="Times New Roman"/>
          <w:szCs w:val="24"/>
        </w:rPr>
        <w:t>。</w:t>
      </w:r>
    </w:p>
    <w:p w:rsidR="004A6339" w:rsidRPr="00521EF4" w:rsidRDefault="00835E8E" w:rsidP="00310166">
      <w:pPr>
        <w:pStyle w:val="ab"/>
        <w:numPr>
          <w:ilvl w:val="0"/>
          <w:numId w:val="38"/>
        </w:numPr>
        <w:spacing w:line="320" w:lineRule="exact"/>
        <w:ind w:leftChars="0" w:left="1418" w:hanging="425"/>
        <w:jc w:val="both"/>
        <w:rPr>
          <w:rFonts w:ascii="Times New Roman" w:eastAsia="標楷體" w:hAnsi="Times New Roman"/>
        </w:rPr>
      </w:pPr>
      <w:r w:rsidRPr="00521EF4">
        <w:rPr>
          <w:rFonts w:ascii="Times New Roman" w:eastAsia="標楷體" w:hAnsi="Times New Roman"/>
          <w:szCs w:val="24"/>
        </w:rPr>
        <w:t>兼任專業技術人員應一次送</w:t>
      </w:r>
      <w:r w:rsidRPr="00521EF4">
        <w:rPr>
          <w:rFonts w:ascii="Times New Roman" w:eastAsia="標楷體" w:hAnsi="Times New Roman"/>
          <w:szCs w:val="24"/>
        </w:rPr>
        <w:t>3</w:t>
      </w:r>
      <w:r w:rsidRPr="00521EF4">
        <w:rPr>
          <w:rFonts w:ascii="Times New Roman" w:eastAsia="標楷體" w:hAnsi="Times New Roman"/>
          <w:szCs w:val="24"/>
        </w:rPr>
        <w:t>位校內系外委員審查，審查委員</w:t>
      </w:r>
      <w:proofErr w:type="gramStart"/>
      <w:r w:rsidRPr="00521EF4">
        <w:rPr>
          <w:rFonts w:ascii="Times New Roman" w:eastAsia="標楷體" w:hAnsi="Times New Roman"/>
          <w:szCs w:val="24"/>
        </w:rPr>
        <w:t>分數均須達</w:t>
      </w:r>
      <w:proofErr w:type="gramEnd"/>
      <w:r w:rsidRPr="00521EF4">
        <w:rPr>
          <w:rFonts w:ascii="Times New Roman" w:eastAsia="標楷體" w:hAnsi="Times New Roman"/>
          <w:szCs w:val="24"/>
        </w:rPr>
        <w:t>70</w:t>
      </w:r>
      <w:r w:rsidRPr="00521EF4">
        <w:rPr>
          <w:rFonts w:ascii="Times New Roman" w:eastAsia="標楷體" w:hAnsi="Times New Roman"/>
          <w:szCs w:val="24"/>
        </w:rPr>
        <w:t>分</w:t>
      </w:r>
      <w:r w:rsidRPr="00521EF4">
        <w:rPr>
          <w:rFonts w:ascii="Times New Roman" w:eastAsia="標楷體" w:hAnsi="Times New Roman"/>
          <w:szCs w:val="24"/>
        </w:rPr>
        <w:t>(</w:t>
      </w:r>
      <w:r w:rsidRPr="00521EF4">
        <w:rPr>
          <w:rFonts w:ascii="Times New Roman" w:eastAsia="標楷體" w:hAnsi="Times New Roman"/>
          <w:szCs w:val="24"/>
        </w:rPr>
        <w:t>含</w:t>
      </w:r>
      <w:r w:rsidRPr="00521EF4">
        <w:rPr>
          <w:rFonts w:ascii="Times New Roman" w:eastAsia="標楷體" w:hAnsi="Times New Roman"/>
          <w:szCs w:val="24"/>
        </w:rPr>
        <w:t>)</w:t>
      </w:r>
      <w:r w:rsidRPr="00521EF4">
        <w:rPr>
          <w:rFonts w:ascii="Times New Roman" w:eastAsia="標楷體" w:hAnsi="Times New Roman"/>
          <w:szCs w:val="24"/>
        </w:rPr>
        <w:t>以上，且平均達</w:t>
      </w:r>
      <w:r w:rsidRPr="00521EF4">
        <w:rPr>
          <w:rFonts w:ascii="Times New Roman" w:eastAsia="標楷體" w:hAnsi="Times New Roman"/>
          <w:szCs w:val="24"/>
        </w:rPr>
        <w:t>75</w:t>
      </w:r>
      <w:r w:rsidRPr="00521EF4">
        <w:rPr>
          <w:rFonts w:ascii="Times New Roman" w:eastAsia="標楷體" w:hAnsi="Times New Roman"/>
          <w:szCs w:val="24"/>
        </w:rPr>
        <w:t>分</w:t>
      </w:r>
      <w:r w:rsidRPr="00521EF4">
        <w:rPr>
          <w:rFonts w:ascii="Times New Roman" w:eastAsia="標楷體" w:hAnsi="Times New Roman"/>
          <w:szCs w:val="24"/>
        </w:rPr>
        <w:t>(</w:t>
      </w:r>
      <w:r w:rsidRPr="00521EF4">
        <w:rPr>
          <w:rFonts w:ascii="Times New Roman" w:eastAsia="標楷體" w:hAnsi="Times New Roman"/>
          <w:szCs w:val="24"/>
        </w:rPr>
        <w:t>含</w:t>
      </w:r>
      <w:r w:rsidRPr="00521EF4">
        <w:rPr>
          <w:rFonts w:ascii="Times New Roman" w:eastAsia="標楷體" w:hAnsi="Times New Roman"/>
          <w:szCs w:val="24"/>
        </w:rPr>
        <w:t>)</w:t>
      </w:r>
      <w:r w:rsidRPr="00521EF4">
        <w:rPr>
          <w:rFonts w:ascii="Times New Roman" w:eastAsia="標楷體" w:hAnsi="Times New Roman"/>
          <w:szCs w:val="24"/>
        </w:rPr>
        <w:t>以上者，視為審查通過</w:t>
      </w:r>
      <w:r w:rsidR="004A6339" w:rsidRPr="00521EF4">
        <w:rPr>
          <w:rFonts w:ascii="Times New Roman" w:eastAsia="標楷體" w:hAnsi="Times New Roman"/>
          <w:szCs w:val="24"/>
        </w:rPr>
        <w:t>。</w:t>
      </w:r>
    </w:p>
    <w:p w:rsidR="004A6339" w:rsidRPr="00521EF4" w:rsidRDefault="00835E8E" w:rsidP="004A6339">
      <w:pPr>
        <w:spacing w:line="320" w:lineRule="exact"/>
        <w:ind w:left="993"/>
        <w:jc w:val="both"/>
        <w:rPr>
          <w:rFonts w:eastAsia="標楷體"/>
        </w:rPr>
      </w:pPr>
      <w:r w:rsidRPr="00521EF4">
        <w:rPr>
          <w:rFonts w:eastAsia="標楷體"/>
        </w:rPr>
        <w:t>前項相關領域學者、專家審查委員名單由</w:t>
      </w:r>
      <w:proofErr w:type="gramStart"/>
      <w:r w:rsidRPr="00521EF4">
        <w:rPr>
          <w:rFonts w:eastAsia="標楷體"/>
        </w:rPr>
        <w:t>系級教評</w:t>
      </w:r>
      <w:proofErr w:type="gramEnd"/>
      <w:r w:rsidRPr="00521EF4">
        <w:rPr>
          <w:rFonts w:eastAsia="標楷體"/>
        </w:rPr>
        <w:t>會提供，專任審查案推薦</w:t>
      </w:r>
      <w:r w:rsidRPr="00521EF4">
        <w:rPr>
          <w:rFonts w:eastAsia="標楷體"/>
        </w:rPr>
        <w:t>10</w:t>
      </w:r>
      <w:r w:rsidRPr="00521EF4">
        <w:rPr>
          <w:rFonts w:eastAsia="標楷體"/>
        </w:rPr>
        <w:t>位校內系外委員及</w:t>
      </w:r>
      <w:r w:rsidRPr="00521EF4">
        <w:rPr>
          <w:rFonts w:eastAsia="標楷體"/>
        </w:rPr>
        <w:t>10</w:t>
      </w:r>
      <w:r w:rsidRPr="00521EF4">
        <w:rPr>
          <w:rFonts w:eastAsia="標楷體"/>
        </w:rPr>
        <w:t>位校外委員；兼任審查案推薦</w:t>
      </w:r>
      <w:r w:rsidRPr="00521EF4">
        <w:rPr>
          <w:rFonts w:eastAsia="標楷體"/>
        </w:rPr>
        <w:t>10</w:t>
      </w:r>
      <w:r w:rsidRPr="00521EF4">
        <w:rPr>
          <w:rFonts w:eastAsia="標楷體"/>
        </w:rPr>
        <w:t>位校內系外委員，</w:t>
      </w:r>
      <w:proofErr w:type="gramStart"/>
      <w:r w:rsidRPr="00521EF4">
        <w:rPr>
          <w:rFonts w:eastAsia="標楷體"/>
        </w:rPr>
        <w:t>送請系級</w:t>
      </w:r>
      <w:proofErr w:type="gramEnd"/>
      <w:r w:rsidRPr="00521EF4">
        <w:rPr>
          <w:rFonts w:eastAsia="標楷體"/>
        </w:rPr>
        <w:t>、</w:t>
      </w:r>
      <w:proofErr w:type="gramStart"/>
      <w:r w:rsidRPr="00521EF4">
        <w:rPr>
          <w:rFonts w:eastAsia="標楷體"/>
        </w:rPr>
        <w:t>院級教評</w:t>
      </w:r>
      <w:proofErr w:type="gramEnd"/>
      <w:r w:rsidRPr="00521EF4">
        <w:rPr>
          <w:rFonts w:eastAsia="標楷體"/>
        </w:rPr>
        <w:t>會召集人增刪後保密推薦，</w:t>
      </w:r>
      <w:proofErr w:type="gramStart"/>
      <w:r w:rsidRPr="00521EF4">
        <w:rPr>
          <w:rFonts w:eastAsia="標楷體"/>
        </w:rPr>
        <w:t>請校教</w:t>
      </w:r>
      <w:proofErr w:type="gramEnd"/>
      <w:r w:rsidRPr="00521EF4">
        <w:rPr>
          <w:rFonts w:eastAsia="標楷體"/>
        </w:rPr>
        <w:t>評會主任委員核定。校外專家學者審查費用由學校支付，審查費用依本校教師</w:t>
      </w:r>
      <w:proofErr w:type="gramStart"/>
      <w:r w:rsidRPr="00521EF4">
        <w:rPr>
          <w:rFonts w:eastAsia="標楷體"/>
        </w:rPr>
        <w:t>聘任暨升等</w:t>
      </w:r>
      <w:proofErr w:type="gramEnd"/>
      <w:r w:rsidRPr="00521EF4">
        <w:rPr>
          <w:rFonts w:eastAsia="標楷體"/>
        </w:rPr>
        <w:t>評審辦法之規定辦理</w:t>
      </w:r>
      <w:r w:rsidR="004A6339" w:rsidRPr="00521EF4">
        <w:rPr>
          <w:rFonts w:eastAsia="標楷體"/>
        </w:rPr>
        <w:t>。</w:t>
      </w:r>
    </w:p>
    <w:p w:rsidR="004A6339" w:rsidRPr="00521EF4" w:rsidRDefault="00835E8E" w:rsidP="004A6339">
      <w:pPr>
        <w:spacing w:line="320" w:lineRule="exact"/>
        <w:ind w:left="993"/>
        <w:jc w:val="both"/>
        <w:rPr>
          <w:rFonts w:eastAsia="標楷體"/>
        </w:rPr>
      </w:pPr>
      <w:r w:rsidRPr="00521EF4">
        <w:rPr>
          <w:rFonts w:eastAsia="標楷體"/>
        </w:rPr>
        <w:t>校外專家學者審查費用由學校支付，審查費用依本校教師</w:t>
      </w:r>
      <w:proofErr w:type="gramStart"/>
      <w:r w:rsidRPr="00521EF4">
        <w:rPr>
          <w:rFonts w:eastAsia="標楷體"/>
        </w:rPr>
        <w:t>聘任暨升等</w:t>
      </w:r>
      <w:proofErr w:type="gramEnd"/>
      <w:r w:rsidRPr="00521EF4">
        <w:rPr>
          <w:rFonts w:eastAsia="標楷體"/>
        </w:rPr>
        <w:t>評審辦法之規定辦理</w:t>
      </w:r>
      <w:r w:rsidR="004A6339" w:rsidRPr="00521EF4">
        <w:rPr>
          <w:rFonts w:eastAsia="標楷體"/>
        </w:rPr>
        <w:t>。</w:t>
      </w:r>
    </w:p>
    <w:p w:rsidR="004A6339" w:rsidRPr="00F22009" w:rsidRDefault="00835E8E" w:rsidP="004A6339">
      <w:pPr>
        <w:spacing w:line="320" w:lineRule="exact"/>
        <w:ind w:left="993"/>
        <w:jc w:val="both"/>
        <w:rPr>
          <w:rFonts w:eastAsia="標楷體"/>
        </w:rPr>
      </w:pPr>
      <w:r w:rsidRPr="00F22009">
        <w:rPr>
          <w:rFonts w:eastAsia="標楷體"/>
        </w:rPr>
        <w:t>通過資格審查之專業技術人員，比照教師職務等級聘任，不具一般教師資格，故不得申請辦理教師證書</w:t>
      </w:r>
      <w:r w:rsidR="004A6339" w:rsidRPr="00F22009">
        <w:rPr>
          <w:rFonts w:eastAsia="標楷體"/>
        </w:rPr>
        <w:t>。</w:t>
      </w:r>
    </w:p>
    <w:p w:rsidR="004A6339" w:rsidRPr="00F22009" w:rsidRDefault="004A6339" w:rsidP="00310166">
      <w:pPr>
        <w:pStyle w:val="ab"/>
        <w:numPr>
          <w:ilvl w:val="0"/>
          <w:numId w:val="33"/>
        </w:numPr>
        <w:spacing w:line="320" w:lineRule="exact"/>
        <w:ind w:leftChars="0" w:left="993" w:hanging="787"/>
        <w:jc w:val="both"/>
        <w:rPr>
          <w:rFonts w:ascii="Times New Roman" w:eastAsia="標楷體" w:hAnsi="Times New Roman"/>
        </w:rPr>
      </w:pPr>
      <w:r w:rsidRPr="00F22009">
        <w:rPr>
          <w:rFonts w:ascii="Times New Roman" w:eastAsia="標楷體" w:hAnsi="Times New Roman"/>
        </w:rPr>
        <w:t>專任專業技術人員應依本要點第四點第一款、第五點第一款及第六點第一款辦理升等，其資格審查中「成績優良，並具有具體事蹟、特殊造詣或成就及國際級大獎或技術程度等」之相關證明，係應與前一等級相較，具較高之造詣或成就者。其審查流程及聘任比照本校「教師</w:t>
      </w:r>
      <w:proofErr w:type="gramStart"/>
      <w:r w:rsidRPr="00F22009">
        <w:rPr>
          <w:rFonts w:ascii="Times New Roman" w:eastAsia="標楷體" w:hAnsi="Times New Roman"/>
        </w:rPr>
        <w:t>聘任暨升等</w:t>
      </w:r>
      <w:proofErr w:type="gramEnd"/>
      <w:r w:rsidRPr="00F22009">
        <w:rPr>
          <w:rFonts w:ascii="Times New Roman" w:eastAsia="標楷體" w:hAnsi="Times New Roman"/>
        </w:rPr>
        <w:t>評審辦法」之相關規定辦理。</w:t>
      </w:r>
    </w:p>
    <w:p w:rsidR="004A6339" w:rsidRPr="00F22009" w:rsidRDefault="004A6339" w:rsidP="004A6339">
      <w:pPr>
        <w:pStyle w:val="ab"/>
        <w:spacing w:line="320" w:lineRule="exact"/>
        <w:ind w:leftChars="0" w:left="993"/>
        <w:jc w:val="both"/>
        <w:rPr>
          <w:rFonts w:ascii="Times New Roman" w:eastAsia="標楷體" w:hAnsi="Times New Roman"/>
        </w:rPr>
      </w:pPr>
      <w:r w:rsidRPr="00F22009">
        <w:rPr>
          <w:rFonts w:ascii="Times New Roman" w:eastAsia="標楷體" w:hAnsi="Times New Roman"/>
        </w:rPr>
        <w:t>兼任專業技術人員以不辦理</w:t>
      </w:r>
      <w:proofErr w:type="gramStart"/>
      <w:r w:rsidRPr="00F22009">
        <w:rPr>
          <w:rFonts w:ascii="Times New Roman" w:eastAsia="標楷體" w:hAnsi="Times New Roman"/>
        </w:rPr>
        <w:t>改聘職級</w:t>
      </w:r>
      <w:proofErr w:type="gramEnd"/>
      <w:r w:rsidRPr="00F22009">
        <w:rPr>
          <w:rFonts w:ascii="Times New Roman" w:eastAsia="標楷體" w:hAnsi="Times New Roman"/>
        </w:rPr>
        <w:t>為原則，惟成績優良具體事蹟、特殊造詣或成就符合第十點第一項條件之</w:t>
      </w:r>
      <w:proofErr w:type="gramStart"/>
      <w:r w:rsidRPr="00F22009">
        <w:rPr>
          <w:rFonts w:ascii="Times New Roman" w:eastAsia="標楷體" w:hAnsi="Times New Roman"/>
        </w:rPr>
        <w:t>一</w:t>
      </w:r>
      <w:proofErr w:type="gramEnd"/>
      <w:r w:rsidRPr="00F22009">
        <w:rPr>
          <w:rFonts w:ascii="Times New Roman" w:eastAsia="標楷體" w:hAnsi="Times New Roman"/>
        </w:rPr>
        <w:t>者，得簽核後辦理改聘。</w:t>
      </w:r>
    </w:p>
    <w:p w:rsidR="004A6339" w:rsidRPr="00F22009" w:rsidRDefault="004A6339" w:rsidP="004A6339">
      <w:pPr>
        <w:pStyle w:val="ab"/>
        <w:spacing w:line="320" w:lineRule="exact"/>
        <w:ind w:leftChars="0" w:left="993"/>
        <w:jc w:val="both"/>
        <w:rPr>
          <w:rFonts w:ascii="Times New Roman" w:eastAsia="標楷體" w:hAnsi="Times New Roman"/>
        </w:rPr>
      </w:pPr>
      <w:r w:rsidRPr="00F22009">
        <w:rPr>
          <w:rFonts w:ascii="Times New Roman" w:eastAsia="標楷體" w:hAnsi="Times New Roman"/>
        </w:rPr>
        <w:t>前述各項之資格審查資料，須為送審前五年內且為升等送審人員自取得上一等級專業技術人員資格至下次提出申請升等期間之資料。</w:t>
      </w:r>
    </w:p>
    <w:p w:rsidR="004A6339" w:rsidRPr="00F22009" w:rsidRDefault="004A6339" w:rsidP="00310166">
      <w:pPr>
        <w:pStyle w:val="ab"/>
        <w:numPr>
          <w:ilvl w:val="0"/>
          <w:numId w:val="33"/>
        </w:numPr>
        <w:spacing w:line="320" w:lineRule="exact"/>
        <w:ind w:leftChars="0" w:left="993" w:hanging="787"/>
        <w:jc w:val="both"/>
        <w:rPr>
          <w:rFonts w:ascii="Times New Roman" w:eastAsia="標楷體" w:hAnsi="Times New Roman"/>
        </w:rPr>
      </w:pPr>
      <w:r w:rsidRPr="00F22009">
        <w:rPr>
          <w:rFonts w:ascii="Times New Roman" w:eastAsia="標楷體" w:hAnsi="Times New Roman"/>
        </w:rPr>
        <w:t>專業技術人員資格審查之相關證明、文件如有偽造、變造、登載不實或其成果有抄襲、剽竊等情事者，經學校教師評審委員會審查確定後，依本校教師違反送審資格及學術倫理處理要點之規定辦理。</w:t>
      </w:r>
    </w:p>
    <w:p w:rsidR="004A6339" w:rsidRPr="00F22009" w:rsidRDefault="004A6339" w:rsidP="00310166">
      <w:pPr>
        <w:pStyle w:val="ab"/>
        <w:numPr>
          <w:ilvl w:val="0"/>
          <w:numId w:val="33"/>
        </w:numPr>
        <w:spacing w:line="320" w:lineRule="exact"/>
        <w:ind w:leftChars="0" w:left="993" w:hanging="787"/>
        <w:jc w:val="both"/>
        <w:rPr>
          <w:rFonts w:ascii="Times New Roman" w:eastAsia="標楷體" w:hAnsi="Times New Roman"/>
        </w:rPr>
      </w:pPr>
      <w:r w:rsidRPr="00F22009">
        <w:rPr>
          <w:rFonts w:ascii="Times New Roman" w:eastAsia="標楷體" w:hAnsi="Times New Roman"/>
        </w:rPr>
        <w:t>專業技術人員之解聘、</w:t>
      </w:r>
      <w:r w:rsidRPr="00521EF4">
        <w:rPr>
          <w:rFonts w:ascii="Times New Roman" w:eastAsia="標楷體" w:hAnsi="Times New Roman"/>
        </w:rPr>
        <w:t>停聘、</w:t>
      </w:r>
      <w:bookmarkStart w:id="0" w:name="_GoBack"/>
      <w:bookmarkEnd w:id="0"/>
      <w:proofErr w:type="gramStart"/>
      <w:r w:rsidRPr="00521EF4">
        <w:rPr>
          <w:rFonts w:ascii="Times New Roman" w:eastAsia="標楷體" w:hAnsi="Times New Roman"/>
        </w:rPr>
        <w:t>不</w:t>
      </w:r>
      <w:proofErr w:type="gramEnd"/>
      <w:r w:rsidRPr="00521EF4">
        <w:rPr>
          <w:rFonts w:ascii="Times New Roman" w:eastAsia="標楷體" w:hAnsi="Times New Roman"/>
        </w:rPr>
        <w:t>續聘與其通報、資訊蒐集、查詢及申訴</w:t>
      </w:r>
      <w:r w:rsidRPr="00F22009">
        <w:rPr>
          <w:rFonts w:ascii="Times New Roman" w:eastAsia="標楷體" w:hAnsi="Times New Roman"/>
        </w:rPr>
        <w:t>等事項，比照教師之規定辦理；但在聘任期間如對</w:t>
      </w:r>
      <w:proofErr w:type="gramStart"/>
      <w:r w:rsidRPr="00F22009">
        <w:rPr>
          <w:rFonts w:ascii="Times New Roman" w:eastAsia="標楷體" w:hAnsi="Times New Roman"/>
        </w:rPr>
        <w:t>不</w:t>
      </w:r>
      <w:proofErr w:type="gramEnd"/>
      <w:r w:rsidRPr="00F22009">
        <w:rPr>
          <w:rFonts w:ascii="Times New Roman" w:eastAsia="標楷體" w:hAnsi="Times New Roman"/>
        </w:rPr>
        <w:t>續聘之條件另有約定時，則從其約定辦理。</w:t>
      </w:r>
    </w:p>
    <w:p w:rsidR="004A6339" w:rsidRPr="00F22009" w:rsidRDefault="004A6339" w:rsidP="00310166">
      <w:pPr>
        <w:pStyle w:val="ab"/>
        <w:numPr>
          <w:ilvl w:val="0"/>
          <w:numId w:val="33"/>
        </w:numPr>
        <w:spacing w:line="320" w:lineRule="exact"/>
        <w:ind w:leftChars="0" w:left="993" w:hanging="787"/>
        <w:jc w:val="both"/>
        <w:rPr>
          <w:rFonts w:ascii="Times New Roman" w:eastAsia="標楷體" w:hAnsi="Times New Roman"/>
        </w:rPr>
      </w:pPr>
      <w:r w:rsidRPr="00F22009">
        <w:rPr>
          <w:rFonts w:ascii="Times New Roman" w:eastAsia="標楷體" w:hAnsi="Times New Roman"/>
        </w:rPr>
        <w:t>專任專業技術人員每週基本授課時數，依其聘任之等級，比照教師之規定辦理。但於聘任時對授課時數、上班時間及任務另有約定時，則從其約定辦理。</w:t>
      </w:r>
    </w:p>
    <w:p w:rsidR="004A6339" w:rsidRPr="00F22009" w:rsidRDefault="004A6339" w:rsidP="00310166">
      <w:pPr>
        <w:pStyle w:val="ab"/>
        <w:numPr>
          <w:ilvl w:val="0"/>
          <w:numId w:val="33"/>
        </w:numPr>
        <w:spacing w:line="320" w:lineRule="exact"/>
        <w:ind w:leftChars="0" w:left="993" w:hanging="787"/>
        <w:jc w:val="both"/>
        <w:rPr>
          <w:rFonts w:ascii="Times New Roman" w:eastAsia="標楷體" w:hAnsi="Times New Roman"/>
        </w:rPr>
      </w:pPr>
      <w:r w:rsidRPr="00F22009">
        <w:rPr>
          <w:rFonts w:ascii="Times New Roman" w:eastAsia="標楷體" w:hAnsi="Times New Roman"/>
        </w:rPr>
        <w:t>專任專業技術人員之待遇、福利、研究、進修、退休、撫</w:t>
      </w:r>
      <w:proofErr w:type="gramStart"/>
      <w:r w:rsidRPr="00F22009">
        <w:rPr>
          <w:rFonts w:ascii="Times New Roman" w:eastAsia="標楷體" w:hAnsi="Times New Roman"/>
        </w:rPr>
        <w:t>卹</w:t>
      </w:r>
      <w:proofErr w:type="gramEnd"/>
      <w:r w:rsidRPr="00F22009">
        <w:rPr>
          <w:rFonts w:ascii="Times New Roman" w:eastAsia="標楷體" w:hAnsi="Times New Roman"/>
        </w:rPr>
        <w:t>、資遣、</w:t>
      </w:r>
      <w:proofErr w:type="gramStart"/>
      <w:r w:rsidRPr="00F22009">
        <w:rPr>
          <w:rFonts w:ascii="Times New Roman" w:eastAsia="標楷體" w:hAnsi="Times New Roman"/>
        </w:rPr>
        <w:t>年資晉薪等</w:t>
      </w:r>
      <w:proofErr w:type="gramEnd"/>
      <w:r w:rsidRPr="00F22009">
        <w:rPr>
          <w:rFonts w:ascii="Times New Roman" w:eastAsia="標楷體" w:hAnsi="Times New Roman"/>
        </w:rPr>
        <w:t>事項，依其聘任之等級，比照教師之規定辦理；兼任人員按同級教師兼課鐘點費支給標準給與。</w:t>
      </w:r>
    </w:p>
    <w:p w:rsidR="004A6339" w:rsidRPr="00F22009" w:rsidRDefault="004A6339" w:rsidP="00310166">
      <w:pPr>
        <w:pStyle w:val="ab"/>
        <w:numPr>
          <w:ilvl w:val="0"/>
          <w:numId w:val="33"/>
        </w:numPr>
        <w:spacing w:line="320" w:lineRule="exact"/>
        <w:ind w:leftChars="0" w:left="993" w:hanging="787"/>
        <w:jc w:val="both"/>
        <w:rPr>
          <w:rFonts w:ascii="Times New Roman" w:eastAsia="標楷體" w:hAnsi="Times New Roman"/>
        </w:rPr>
      </w:pPr>
      <w:r w:rsidRPr="00F22009">
        <w:rPr>
          <w:rFonts w:ascii="Times New Roman" w:eastAsia="標楷體" w:hAnsi="Times New Roman"/>
        </w:rPr>
        <w:t>本要點未規定事項，</w:t>
      </w:r>
      <w:proofErr w:type="gramStart"/>
      <w:r w:rsidRPr="00F22009">
        <w:rPr>
          <w:rFonts w:ascii="Times New Roman" w:eastAsia="標楷體" w:hAnsi="Times New Roman"/>
        </w:rPr>
        <w:t>準</w:t>
      </w:r>
      <w:proofErr w:type="gramEnd"/>
      <w:r w:rsidRPr="00F22009">
        <w:rPr>
          <w:rFonts w:ascii="Times New Roman" w:eastAsia="標楷體" w:hAnsi="Times New Roman"/>
        </w:rPr>
        <w:t>用本校教師</w:t>
      </w:r>
      <w:proofErr w:type="gramStart"/>
      <w:r w:rsidRPr="00F22009">
        <w:rPr>
          <w:rFonts w:ascii="Times New Roman" w:eastAsia="標楷體" w:hAnsi="Times New Roman"/>
        </w:rPr>
        <w:t>聘任暨升等</w:t>
      </w:r>
      <w:proofErr w:type="gramEnd"/>
      <w:r w:rsidRPr="00F22009">
        <w:rPr>
          <w:rFonts w:ascii="Times New Roman" w:eastAsia="標楷體" w:hAnsi="Times New Roman"/>
        </w:rPr>
        <w:t>評審辦法及辦理教師著作外審作業要點等相關規定辦理。</w:t>
      </w:r>
    </w:p>
    <w:p w:rsidR="004A6339" w:rsidRPr="00F22009" w:rsidRDefault="004A6339" w:rsidP="00310166">
      <w:pPr>
        <w:pStyle w:val="ab"/>
        <w:numPr>
          <w:ilvl w:val="0"/>
          <w:numId w:val="33"/>
        </w:numPr>
        <w:spacing w:line="320" w:lineRule="exact"/>
        <w:ind w:leftChars="0" w:left="993" w:hanging="787"/>
        <w:jc w:val="both"/>
        <w:rPr>
          <w:rFonts w:ascii="Times New Roman" w:eastAsia="標楷體" w:hAnsi="Times New Roman"/>
        </w:rPr>
        <w:sectPr w:rsidR="004A6339" w:rsidRPr="00F22009" w:rsidSect="004A6339">
          <w:footerReference w:type="default" r:id="rId8"/>
          <w:pgSz w:w="11906" w:h="16838"/>
          <w:pgMar w:top="709" w:right="1134" w:bottom="1134" w:left="1134" w:header="397" w:footer="397" w:gutter="0"/>
          <w:cols w:space="425"/>
          <w:docGrid w:type="lines" w:linePitch="360"/>
        </w:sectPr>
      </w:pPr>
      <w:r w:rsidRPr="00F22009">
        <w:rPr>
          <w:rFonts w:ascii="Times New Roman" w:eastAsia="標楷體" w:hAnsi="Times New Roman"/>
        </w:rPr>
        <w:t>本要點經校務會議通過，陳請校長核定後公布施行，修正時亦同。</w:t>
      </w:r>
    </w:p>
    <w:p w:rsidR="004A6339" w:rsidRPr="00F22009" w:rsidRDefault="004A6339" w:rsidP="004A6339">
      <w:pPr>
        <w:spacing w:line="560" w:lineRule="exact"/>
        <w:ind w:left="566"/>
        <w:rPr>
          <w:rFonts w:eastAsia="標楷體"/>
          <w:b/>
          <w:sz w:val="28"/>
          <w:szCs w:val="28"/>
          <w:shd w:val="clear" w:color="auto" w:fill="FFFFFF"/>
        </w:rPr>
      </w:pPr>
      <w:r w:rsidRPr="00F22009">
        <w:rPr>
          <w:rFonts w:eastAsia="標楷體"/>
          <w:b/>
          <w:sz w:val="28"/>
          <w:szCs w:val="28"/>
          <w:shd w:val="clear" w:color="auto" w:fill="FFFFFF"/>
        </w:rPr>
        <w:lastRenderedPageBreak/>
        <w:t>附表</w:t>
      </w:r>
    </w:p>
    <w:p w:rsidR="004A6339" w:rsidRPr="00F22009" w:rsidRDefault="004A6339" w:rsidP="004A6339">
      <w:pPr>
        <w:spacing w:line="560" w:lineRule="exact"/>
        <w:ind w:left="566"/>
        <w:jc w:val="center"/>
        <w:rPr>
          <w:rFonts w:eastAsia="標楷體"/>
          <w:b/>
          <w:bCs/>
          <w:sz w:val="28"/>
          <w:szCs w:val="28"/>
        </w:rPr>
      </w:pPr>
      <w:r w:rsidRPr="00F22009">
        <w:rPr>
          <w:rFonts w:eastAsia="標楷體"/>
          <w:b/>
          <w:sz w:val="28"/>
          <w:szCs w:val="28"/>
          <w:shd w:val="clear" w:color="auto" w:fill="FFFFFF"/>
        </w:rPr>
        <w:t>聘任專任專業技術人員專業技術領域表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278"/>
        <w:gridCol w:w="6974"/>
      </w:tblGrid>
      <w:tr w:rsidR="004A6339" w:rsidRPr="00F22009" w:rsidTr="00855C7D">
        <w:trPr>
          <w:trHeight w:val="559"/>
        </w:trPr>
        <w:tc>
          <w:tcPr>
            <w:tcW w:w="709" w:type="dxa"/>
            <w:shd w:val="clear" w:color="auto" w:fill="D9D9D9"/>
            <w:vAlign w:val="center"/>
          </w:tcPr>
          <w:p w:rsidR="004A6339" w:rsidRPr="00F22009" w:rsidRDefault="004A6339" w:rsidP="00855C7D">
            <w:pPr>
              <w:snapToGrid w:val="0"/>
              <w:jc w:val="center"/>
              <w:rPr>
                <w:rFonts w:eastAsia="標楷體"/>
              </w:rPr>
            </w:pPr>
            <w:r w:rsidRPr="00F22009">
              <w:rPr>
                <w:rFonts w:eastAsia="標楷體"/>
              </w:rPr>
              <w:t>序號</w:t>
            </w:r>
          </w:p>
        </w:tc>
        <w:tc>
          <w:tcPr>
            <w:tcW w:w="1306" w:type="dxa"/>
            <w:shd w:val="clear" w:color="auto" w:fill="D9D9D9"/>
            <w:vAlign w:val="center"/>
          </w:tcPr>
          <w:p w:rsidR="004A6339" w:rsidRPr="00F22009" w:rsidRDefault="004A6339" w:rsidP="00855C7D">
            <w:pPr>
              <w:snapToGrid w:val="0"/>
              <w:jc w:val="center"/>
              <w:rPr>
                <w:rFonts w:eastAsia="標楷體"/>
              </w:rPr>
            </w:pPr>
            <w:r w:rsidRPr="00F22009">
              <w:rPr>
                <w:rFonts w:eastAsia="標楷體"/>
              </w:rPr>
              <w:t>聘任單位</w:t>
            </w:r>
          </w:p>
        </w:tc>
        <w:tc>
          <w:tcPr>
            <w:tcW w:w="7176" w:type="dxa"/>
            <w:shd w:val="clear" w:color="auto" w:fill="D9D9D9"/>
            <w:vAlign w:val="center"/>
          </w:tcPr>
          <w:p w:rsidR="004A6339" w:rsidRPr="00F22009" w:rsidRDefault="004A6339" w:rsidP="00855C7D">
            <w:pPr>
              <w:snapToGrid w:val="0"/>
              <w:jc w:val="center"/>
              <w:rPr>
                <w:rFonts w:eastAsia="標楷體"/>
              </w:rPr>
            </w:pPr>
            <w:r w:rsidRPr="00F22009">
              <w:rPr>
                <w:rFonts w:eastAsia="標楷體"/>
              </w:rPr>
              <w:t>專業技術領域</w:t>
            </w:r>
          </w:p>
        </w:tc>
      </w:tr>
      <w:tr w:rsidR="004A6339" w:rsidRPr="00F22009" w:rsidTr="00855C7D">
        <w:trPr>
          <w:trHeight w:val="937"/>
        </w:trPr>
        <w:tc>
          <w:tcPr>
            <w:tcW w:w="709" w:type="dxa"/>
            <w:shd w:val="clear" w:color="auto" w:fill="auto"/>
            <w:vAlign w:val="center"/>
          </w:tcPr>
          <w:p w:rsidR="004A6339" w:rsidRPr="00F22009" w:rsidRDefault="004A6339" w:rsidP="00855C7D">
            <w:pPr>
              <w:snapToGrid w:val="0"/>
              <w:jc w:val="center"/>
              <w:rPr>
                <w:rFonts w:eastAsia="標楷體"/>
              </w:rPr>
            </w:pPr>
            <w:r w:rsidRPr="00F22009">
              <w:rPr>
                <w:rFonts w:eastAsia="標楷體"/>
              </w:rPr>
              <w:t>1</w:t>
            </w:r>
          </w:p>
        </w:tc>
        <w:tc>
          <w:tcPr>
            <w:tcW w:w="1306" w:type="dxa"/>
            <w:shd w:val="clear" w:color="auto" w:fill="auto"/>
            <w:vAlign w:val="center"/>
          </w:tcPr>
          <w:p w:rsidR="004A6339" w:rsidRPr="00F22009" w:rsidRDefault="004A6339" w:rsidP="00855C7D">
            <w:pPr>
              <w:snapToGrid w:val="0"/>
              <w:jc w:val="center"/>
              <w:rPr>
                <w:rFonts w:eastAsia="標楷體"/>
              </w:rPr>
            </w:pPr>
            <w:proofErr w:type="gramStart"/>
            <w:r w:rsidRPr="00F22009">
              <w:rPr>
                <w:rFonts w:eastAsia="標楷體"/>
              </w:rPr>
              <w:t>餐旅系</w:t>
            </w:r>
            <w:proofErr w:type="gramEnd"/>
          </w:p>
        </w:tc>
        <w:tc>
          <w:tcPr>
            <w:tcW w:w="7176" w:type="dxa"/>
            <w:shd w:val="clear" w:color="auto" w:fill="auto"/>
            <w:vAlign w:val="center"/>
          </w:tcPr>
          <w:p w:rsidR="004A6339" w:rsidRPr="00F22009" w:rsidRDefault="004A6339" w:rsidP="00855C7D">
            <w:pPr>
              <w:snapToGrid w:val="0"/>
              <w:jc w:val="both"/>
              <w:rPr>
                <w:rFonts w:eastAsia="標楷體"/>
              </w:rPr>
            </w:pPr>
            <w:r w:rsidRPr="00F22009">
              <w:rPr>
                <w:rFonts w:eastAsia="標楷體"/>
              </w:rPr>
              <w:t>中餐烹調、西餐烹調、烘焙</w:t>
            </w:r>
          </w:p>
        </w:tc>
      </w:tr>
      <w:tr w:rsidR="004A6339" w:rsidRPr="00F22009" w:rsidTr="00855C7D">
        <w:trPr>
          <w:trHeight w:val="937"/>
        </w:trPr>
        <w:tc>
          <w:tcPr>
            <w:tcW w:w="709" w:type="dxa"/>
            <w:shd w:val="clear" w:color="auto" w:fill="auto"/>
            <w:vAlign w:val="center"/>
          </w:tcPr>
          <w:p w:rsidR="004A6339" w:rsidRPr="00F22009" w:rsidRDefault="004A6339" w:rsidP="00855C7D">
            <w:pPr>
              <w:snapToGrid w:val="0"/>
              <w:jc w:val="center"/>
              <w:rPr>
                <w:rFonts w:eastAsia="標楷體"/>
              </w:rPr>
            </w:pPr>
            <w:r w:rsidRPr="00F22009">
              <w:rPr>
                <w:rFonts w:eastAsia="標楷體"/>
              </w:rPr>
              <w:t>2</w:t>
            </w:r>
          </w:p>
        </w:tc>
        <w:tc>
          <w:tcPr>
            <w:tcW w:w="1306" w:type="dxa"/>
            <w:shd w:val="clear" w:color="auto" w:fill="auto"/>
            <w:vAlign w:val="center"/>
          </w:tcPr>
          <w:p w:rsidR="004A6339" w:rsidRPr="00F22009" w:rsidRDefault="004A6339" w:rsidP="00855C7D">
            <w:pPr>
              <w:snapToGrid w:val="0"/>
              <w:jc w:val="center"/>
              <w:rPr>
                <w:rFonts w:eastAsia="標楷體"/>
              </w:rPr>
            </w:pPr>
            <w:r w:rsidRPr="00F22009">
              <w:rPr>
                <w:rFonts w:eastAsia="標楷體"/>
              </w:rPr>
              <w:t>資傳系</w:t>
            </w:r>
          </w:p>
        </w:tc>
        <w:tc>
          <w:tcPr>
            <w:tcW w:w="7176" w:type="dxa"/>
            <w:shd w:val="clear" w:color="auto" w:fill="auto"/>
            <w:vAlign w:val="center"/>
          </w:tcPr>
          <w:p w:rsidR="004A6339" w:rsidRPr="00F22009" w:rsidRDefault="004A6339" w:rsidP="00855C7D">
            <w:pPr>
              <w:snapToGrid w:val="0"/>
              <w:ind w:left="252" w:hangingChars="105" w:hanging="252"/>
              <w:jc w:val="both"/>
              <w:rPr>
                <w:rFonts w:eastAsia="標楷體"/>
              </w:rPr>
            </w:pPr>
            <w:r w:rsidRPr="00F22009">
              <w:rPr>
                <w:rFonts w:eastAsia="標楷體"/>
              </w:rPr>
              <w:t>影視製作、影視特效</w:t>
            </w:r>
          </w:p>
        </w:tc>
      </w:tr>
      <w:tr w:rsidR="004A6339" w:rsidRPr="00F22009" w:rsidTr="00855C7D">
        <w:trPr>
          <w:trHeight w:val="937"/>
        </w:trPr>
        <w:tc>
          <w:tcPr>
            <w:tcW w:w="709" w:type="dxa"/>
            <w:shd w:val="clear" w:color="auto" w:fill="auto"/>
            <w:vAlign w:val="center"/>
          </w:tcPr>
          <w:p w:rsidR="004A6339" w:rsidRPr="00F22009" w:rsidRDefault="004A6339" w:rsidP="00855C7D">
            <w:pPr>
              <w:snapToGrid w:val="0"/>
              <w:jc w:val="center"/>
              <w:rPr>
                <w:rFonts w:eastAsia="標楷體"/>
              </w:rPr>
            </w:pPr>
            <w:r w:rsidRPr="00F22009">
              <w:rPr>
                <w:rFonts w:eastAsia="標楷體"/>
              </w:rPr>
              <w:t>3</w:t>
            </w:r>
          </w:p>
        </w:tc>
        <w:tc>
          <w:tcPr>
            <w:tcW w:w="1306" w:type="dxa"/>
            <w:shd w:val="clear" w:color="auto" w:fill="auto"/>
            <w:vAlign w:val="center"/>
          </w:tcPr>
          <w:p w:rsidR="004A6339" w:rsidRPr="00F22009" w:rsidRDefault="004A6339" w:rsidP="00855C7D">
            <w:pPr>
              <w:snapToGrid w:val="0"/>
              <w:jc w:val="center"/>
              <w:rPr>
                <w:rFonts w:eastAsia="標楷體"/>
              </w:rPr>
            </w:pPr>
            <w:r w:rsidRPr="00F22009">
              <w:rPr>
                <w:rFonts w:eastAsia="標楷體"/>
              </w:rPr>
              <w:t>視傳系</w:t>
            </w:r>
          </w:p>
        </w:tc>
        <w:tc>
          <w:tcPr>
            <w:tcW w:w="7176" w:type="dxa"/>
            <w:shd w:val="clear" w:color="auto" w:fill="auto"/>
            <w:vAlign w:val="center"/>
          </w:tcPr>
          <w:p w:rsidR="004A6339" w:rsidRPr="00F22009" w:rsidRDefault="004A6339" w:rsidP="00855C7D">
            <w:pPr>
              <w:snapToGrid w:val="0"/>
              <w:ind w:left="252" w:hangingChars="105" w:hanging="252"/>
              <w:jc w:val="both"/>
              <w:rPr>
                <w:rFonts w:eastAsia="標楷體"/>
              </w:rPr>
            </w:pPr>
            <w:r w:rsidRPr="00F22009">
              <w:rPr>
                <w:rFonts w:eastAsia="標楷體"/>
              </w:rPr>
              <w:t>動畫設計、工藝設計、空間設計及商業設計</w:t>
            </w:r>
          </w:p>
        </w:tc>
      </w:tr>
      <w:tr w:rsidR="004A6339" w:rsidRPr="00F22009" w:rsidTr="00855C7D">
        <w:trPr>
          <w:trHeight w:val="937"/>
        </w:trPr>
        <w:tc>
          <w:tcPr>
            <w:tcW w:w="709" w:type="dxa"/>
            <w:shd w:val="clear" w:color="auto" w:fill="auto"/>
            <w:vAlign w:val="center"/>
          </w:tcPr>
          <w:p w:rsidR="004A6339" w:rsidRPr="00F22009" w:rsidRDefault="004A6339" w:rsidP="00855C7D">
            <w:pPr>
              <w:snapToGrid w:val="0"/>
              <w:jc w:val="center"/>
              <w:rPr>
                <w:rFonts w:eastAsia="標楷體"/>
              </w:rPr>
            </w:pPr>
            <w:r w:rsidRPr="00F22009">
              <w:rPr>
                <w:rFonts w:eastAsia="標楷體"/>
              </w:rPr>
              <w:t>4</w:t>
            </w:r>
          </w:p>
        </w:tc>
        <w:tc>
          <w:tcPr>
            <w:tcW w:w="1306" w:type="dxa"/>
            <w:shd w:val="clear" w:color="auto" w:fill="auto"/>
            <w:vAlign w:val="center"/>
          </w:tcPr>
          <w:p w:rsidR="004A6339" w:rsidRPr="00F22009" w:rsidRDefault="004A6339" w:rsidP="00855C7D">
            <w:pPr>
              <w:snapToGrid w:val="0"/>
              <w:jc w:val="center"/>
              <w:rPr>
                <w:rFonts w:eastAsia="標楷體"/>
              </w:rPr>
            </w:pPr>
            <w:proofErr w:type="gramStart"/>
            <w:r w:rsidRPr="00F22009">
              <w:rPr>
                <w:rFonts w:eastAsia="標楷體"/>
              </w:rPr>
              <w:t>多樂系</w:t>
            </w:r>
            <w:proofErr w:type="gramEnd"/>
          </w:p>
        </w:tc>
        <w:tc>
          <w:tcPr>
            <w:tcW w:w="7176" w:type="dxa"/>
            <w:shd w:val="clear" w:color="auto" w:fill="auto"/>
            <w:vAlign w:val="center"/>
          </w:tcPr>
          <w:p w:rsidR="004A6339" w:rsidRPr="00F22009" w:rsidRDefault="004A6339" w:rsidP="00855C7D">
            <w:pPr>
              <w:snapToGrid w:val="0"/>
              <w:jc w:val="both"/>
              <w:rPr>
                <w:rFonts w:eastAsia="標楷體"/>
              </w:rPr>
            </w:pPr>
            <w:r w:rsidRPr="00F22009">
              <w:rPr>
                <w:rFonts w:eastAsia="標楷體"/>
              </w:rPr>
              <w:t>漫畫創作、</w:t>
            </w:r>
            <w:r w:rsidRPr="00F22009">
              <w:rPr>
                <w:rFonts w:eastAsia="標楷體"/>
              </w:rPr>
              <w:t>3D</w:t>
            </w:r>
            <w:r w:rsidRPr="00F22009">
              <w:rPr>
                <w:rFonts w:eastAsia="標楷體"/>
              </w:rPr>
              <w:t>美術設計</w:t>
            </w:r>
          </w:p>
        </w:tc>
      </w:tr>
      <w:tr w:rsidR="004A6339" w:rsidRPr="00F22009" w:rsidTr="00855C7D">
        <w:trPr>
          <w:trHeight w:val="937"/>
        </w:trPr>
        <w:tc>
          <w:tcPr>
            <w:tcW w:w="709" w:type="dxa"/>
            <w:shd w:val="clear" w:color="auto" w:fill="auto"/>
            <w:vAlign w:val="center"/>
          </w:tcPr>
          <w:p w:rsidR="004A6339" w:rsidRPr="00F22009" w:rsidRDefault="004A6339" w:rsidP="00855C7D">
            <w:pPr>
              <w:snapToGrid w:val="0"/>
              <w:jc w:val="center"/>
              <w:rPr>
                <w:rFonts w:eastAsia="標楷體"/>
              </w:rPr>
            </w:pPr>
            <w:r w:rsidRPr="00F22009">
              <w:rPr>
                <w:rFonts w:eastAsia="標楷體"/>
              </w:rPr>
              <w:t>5</w:t>
            </w:r>
          </w:p>
        </w:tc>
        <w:tc>
          <w:tcPr>
            <w:tcW w:w="1306" w:type="dxa"/>
            <w:shd w:val="clear" w:color="auto" w:fill="auto"/>
            <w:vAlign w:val="center"/>
          </w:tcPr>
          <w:p w:rsidR="004A6339" w:rsidRPr="00F22009" w:rsidRDefault="004A6339" w:rsidP="00855C7D">
            <w:pPr>
              <w:snapToGrid w:val="0"/>
              <w:jc w:val="center"/>
              <w:rPr>
                <w:rFonts w:eastAsia="標楷體"/>
              </w:rPr>
            </w:pPr>
            <w:proofErr w:type="gramStart"/>
            <w:r w:rsidRPr="00F22009">
              <w:rPr>
                <w:rFonts w:eastAsia="標楷體"/>
              </w:rPr>
              <w:t>產設系</w:t>
            </w:r>
            <w:proofErr w:type="gramEnd"/>
          </w:p>
        </w:tc>
        <w:tc>
          <w:tcPr>
            <w:tcW w:w="7176" w:type="dxa"/>
            <w:shd w:val="clear" w:color="auto" w:fill="auto"/>
            <w:vAlign w:val="center"/>
          </w:tcPr>
          <w:p w:rsidR="004A6339" w:rsidRPr="00F22009" w:rsidRDefault="004A6339" w:rsidP="00855C7D">
            <w:pPr>
              <w:snapToGrid w:val="0"/>
              <w:jc w:val="both"/>
              <w:rPr>
                <w:rFonts w:eastAsia="標楷體"/>
              </w:rPr>
            </w:pPr>
            <w:proofErr w:type="gramStart"/>
            <w:r w:rsidRPr="00F22009">
              <w:rPr>
                <w:rFonts w:eastAsia="標楷體"/>
              </w:rPr>
              <w:t>文創產業</w:t>
            </w:r>
            <w:proofErr w:type="gramEnd"/>
            <w:r w:rsidRPr="00F22009">
              <w:rPr>
                <w:rFonts w:eastAsia="標楷體"/>
              </w:rPr>
              <w:t>經營、展演實務、設計管理</w:t>
            </w:r>
          </w:p>
        </w:tc>
      </w:tr>
      <w:tr w:rsidR="004A6339" w:rsidRPr="00F22009" w:rsidTr="00855C7D">
        <w:trPr>
          <w:trHeight w:val="937"/>
        </w:trPr>
        <w:tc>
          <w:tcPr>
            <w:tcW w:w="709" w:type="dxa"/>
            <w:shd w:val="clear" w:color="auto" w:fill="auto"/>
            <w:vAlign w:val="center"/>
          </w:tcPr>
          <w:p w:rsidR="004A6339" w:rsidRPr="00F22009" w:rsidRDefault="004A6339" w:rsidP="00855C7D">
            <w:pPr>
              <w:snapToGrid w:val="0"/>
              <w:jc w:val="center"/>
              <w:rPr>
                <w:rFonts w:eastAsia="標楷體"/>
              </w:rPr>
            </w:pPr>
            <w:r w:rsidRPr="00F22009">
              <w:rPr>
                <w:rFonts w:eastAsia="標楷體"/>
              </w:rPr>
              <w:t>6</w:t>
            </w:r>
          </w:p>
        </w:tc>
        <w:tc>
          <w:tcPr>
            <w:tcW w:w="1306" w:type="dxa"/>
            <w:shd w:val="clear" w:color="auto" w:fill="auto"/>
            <w:vAlign w:val="center"/>
          </w:tcPr>
          <w:p w:rsidR="004A6339" w:rsidRPr="00F22009" w:rsidRDefault="004A6339" w:rsidP="00855C7D">
            <w:pPr>
              <w:snapToGrid w:val="0"/>
              <w:jc w:val="center"/>
              <w:rPr>
                <w:rFonts w:eastAsia="標楷體"/>
              </w:rPr>
            </w:pPr>
            <w:proofErr w:type="gramStart"/>
            <w:r w:rsidRPr="00F22009">
              <w:rPr>
                <w:rFonts w:eastAsia="標楷體"/>
              </w:rPr>
              <w:t>流音系</w:t>
            </w:r>
            <w:proofErr w:type="gramEnd"/>
          </w:p>
        </w:tc>
        <w:tc>
          <w:tcPr>
            <w:tcW w:w="7176" w:type="dxa"/>
            <w:shd w:val="clear" w:color="auto" w:fill="auto"/>
            <w:vAlign w:val="center"/>
          </w:tcPr>
          <w:p w:rsidR="004A6339" w:rsidRPr="00F22009" w:rsidRDefault="004A6339" w:rsidP="00855C7D">
            <w:pPr>
              <w:snapToGrid w:val="0"/>
              <w:ind w:left="252" w:hangingChars="105" w:hanging="252"/>
              <w:jc w:val="both"/>
              <w:rPr>
                <w:rFonts w:eastAsia="標楷體"/>
              </w:rPr>
            </w:pPr>
            <w:r w:rsidRPr="00F22009">
              <w:rPr>
                <w:rFonts w:eastAsia="標楷體"/>
              </w:rPr>
              <w:t>音樂創作表演、音樂後製、音樂經紀行銷、舞台燈光音響設計</w:t>
            </w:r>
          </w:p>
        </w:tc>
      </w:tr>
    </w:tbl>
    <w:p w:rsidR="00855C7D" w:rsidRDefault="00855C7D" w:rsidP="00D01BCA">
      <w:pPr>
        <w:spacing w:line="320" w:lineRule="exact"/>
        <w:rPr>
          <w:rFonts w:eastAsia="標楷體"/>
          <w:b/>
          <w:color w:val="FF0000"/>
          <w:sz w:val="40"/>
          <w:szCs w:val="40"/>
        </w:rPr>
      </w:pPr>
    </w:p>
    <w:sectPr w:rsidR="00855C7D" w:rsidSect="00EB3833">
      <w:headerReference w:type="default" r:id="rId9"/>
      <w:pgSz w:w="11906" w:h="16838"/>
      <w:pgMar w:top="709" w:right="1134" w:bottom="1134" w:left="1134" w:header="397"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90C" w:rsidRDefault="003D390C" w:rsidP="00DB06C2">
      <w:r>
        <w:separator/>
      </w:r>
    </w:p>
  </w:endnote>
  <w:endnote w:type="continuationSeparator" w:id="0">
    <w:p w:rsidR="003D390C" w:rsidRDefault="003D390C" w:rsidP="00D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32D" w:rsidRDefault="002A232D" w:rsidP="00BC790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90C" w:rsidRDefault="003D390C" w:rsidP="00DB06C2">
      <w:r>
        <w:separator/>
      </w:r>
    </w:p>
  </w:footnote>
  <w:footnote w:type="continuationSeparator" w:id="0">
    <w:p w:rsidR="003D390C" w:rsidRDefault="003D390C" w:rsidP="00DB0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32D" w:rsidRDefault="002A232D" w:rsidP="008F21E0">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5BDA"/>
    <w:multiLevelType w:val="hybridMultilevel"/>
    <w:tmpl w:val="0136EB7C"/>
    <w:lvl w:ilvl="0" w:tplc="B6B2400E">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15:restartNumberingAfterBreak="0">
    <w:nsid w:val="0AC971A7"/>
    <w:multiLevelType w:val="hybridMultilevel"/>
    <w:tmpl w:val="D62CF74E"/>
    <w:lvl w:ilvl="0" w:tplc="CD3AB9D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57737F"/>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8871DB2"/>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8942B03"/>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1458DC"/>
    <w:multiLevelType w:val="hybridMultilevel"/>
    <w:tmpl w:val="9328CB4C"/>
    <w:lvl w:ilvl="0" w:tplc="8580E616">
      <w:start w:val="1"/>
      <w:numFmt w:val="taiwaneseCountingThousand"/>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6" w15:restartNumberingAfterBreak="0">
    <w:nsid w:val="21A31449"/>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2FA00A6"/>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64A12D8"/>
    <w:multiLevelType w:val="hybridMultilevel"/>
    <w:tmpl w:val="1AF23C94"/>
    <w:lvl w:ilvl="0" w:tplc="87427FD8">
      <w:start w:val="1"/>
      <w:numFmt w:val="taiwaneseCountingThousand"/>
      <w:lvlText w:val="(%1)"/>
      <w:lvlJc w:val="left"/>
      <w:pPr>
        <w:ind w:left="1473" w:hanging="480"/>
      </w:pPr>
      <w:rPr>
        <w:rFonts w:ascii="Times New Roman"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2D560ABD"/>
    <w:multiLevelType w:val="hybridMultilevel"/>
    <w:tmpl w:val="619AA5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185509"/>
    <w:multiLevelType w:val="hybridMultilevel"/>
    <w:tmpl w:val="D41A9634"/>
    <w:lvl w:ilvl="0" w:tplc="24D0992C">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1646" w:hanging="480"/>
      </w:pPr>
    </w:lvl>
    <w:lvl w:ilvl="3" w:tplc="0409000F" w:tentative="1">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11" w15:restartNumberingAfterBreak="0">
    <w:nsid w:val="2FEA5125"/>
    <w:multiLevelType w:val="hybridMultilevel"/>
    <w:tmpl w:val="85CA037C"/>
    <w:lvl w:ilvl="0" w:tplc="126651A0">
      <w:start w:val="1"/>
      <w:numFmt w:val="taiwaneseCountingThousand"/>
      <w:lvlText w:val="%1、"/>
      <w:lvlJc w:val="left"/>
      <w:pPr>
        <w:tabs>
          <w:tab w:val="num" w:pos="1560"/>
        </w:tabs>
        <w:ind w:left="1560" w:hanging="360"/>
      </w:pPr>
      <w:rPr>
        <w:rFonts w:hint="eastAsia"/>
      </w:rPr>
    </w:lvl>
    <w:lvl w:ilvl="1" w:tplc="FA8EAA58">
      <w:start w:val="1"/>
      <w:numFmt w:val="taiwaneseCountingThousand"/>
      <w:lvlText w:val="（%2）"/>
      <w:lvlJc w:val="left"/>
      <w:pPr>
        <w:tabs>
          <w:tab w:val="num" w:pos="2340"/>
        </w:tabs>
        <w:ind w:left="2340" w:hanging="72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2" w15:restartNumberingAfterBreak="0">
    <w:nsid w:val="33434823"/>
    <w:multiLevelType w:val="hybridMultilevel"/>
    <w:tmpl w:val="893E79CE"/>
    <w:lvl w:ilvl="0" w:tplc="56F21138">
      <w:start w:val="1"/>
      <w:numFmt w:val="taiwaneseCountingThousand"/>
      <w:lvlText w:val="（%1）"/>
      <w:lvlJc w:val="left"/>
      <w:pPr>
        <w:tabs>
          <w:tab w:val="num" w:pos="2520"/>
        </w:tabs>
        <w:ind w:left="2520" w:hanging="720"/>
      </w:pPr>
      <w:rPr>
        <w:rFonts w:hint="eastAsia"/>
      </w:rPr>
    </w:lvl>
    <w:lvl w:ilvl="1" w:tplc="AA7AA6A0">
      <w:start w:val="1"/>
      <w:numFmt w:val="taiwaneseCountingThousand"/>
      <w:lvlText w:val="%2、"/>
      <w:lvlJc w:val="left"/>
      <w:pPr>
        <w:tabs>
          <w:tab w:val="num" w:pos="2520"/>
        </w:tabs>
        <w:ind w:left="2520" w:hanging="360"/>
      </w:pPr>
      <w:rPr>
        <w:rFonts w:hint="eastAsia"/>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13" w15:restartNumberingAfterBreak="0">
    <w:nsid w:val="33464EBF"/>
    <w:multiLevelType w:val="hybridMultilevel"/>
    <w:tmpl w:val="9328CB4C"/>
    <w:lvl w:ilvl="0" w:tplc="8580E616">
      <w:start w:val="1"/>
      <w:numFmt w:val="taiwaneseCountingThousand"/>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14" w15:restartNumberingAfterBreak="0">
    <w:nsid w:val="356E0628"/>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305933"/>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15:restartNumberingAfterBreak="0">
    <w:nsid w:val="38BC5330"/>
    <w:multiLevelType w:val="hybridMultilevel"/>
    <w:tmpl w:val="5B0682EE"/>
    <w:lvl w:ilvl="0" w:tplc="8130B6AA">
      <w:start w:val="1"/>
      <w:numFmt w:val="taiwaneseCountingThousand"/>
      <w:lvlText w:val="%1、"/>
      <w:lvlJc w:val="left"/>
      <w:pPr>
        <w:ind w:left="2234"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7" w15:restartNumberingAfterBreak="0">
    <w:nsid w:val="38F30BBE"/>
    <w:multiLevelType w:val="hybridMultilevel"/>
    <w:tmpl w:val="7D00D43E"/>
    <w:lvl w:ilvl="0" w:tplc="FCDC2EAA">
      <w:start w:val="1"/>
      <w:numFmt w:val="taiwaneseCountingThousand"/>
      <w:lvlText w:val="（%1）"/>
      <w:lvlJc w:val="left"/>
      <w:pPr>
        <w:tabs>
          <w:tab w:val="num" w:pos="2340"/>
        </w:tabs>
        <w:ind w:left="2340" w:hanging="720"/>
      </w:pPr>
      <w:rPr>
        <w:rFonts w:hint="eastAsia"/>
      </w:rPr>
    </w:lvl>
    <w:lvl w:ilvl="1" w:tplc="C682EEC4">
      <w:start w:val="1"/>
      <w:numFmt w:val="taiwaneseCountingThousand"/>
      <w:lvlText w:val="%2、"/>
      <w:lvlJc w:val="left"/>
      <w:pPr>
        <w:tabs>
          <w:tab w:val="num" w:pos="1740"/>
        </w:tabs>
        <w:ind w:left="1740" w:hanging="480"/>
      </w:pPr>
      <w:rPr>
        <w:rFonts w:hint="eastAsia"/>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18" w15:restartNumberingAfterBreak="0">
    <w:nsid w:val="40EE3021"/>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E816DE"/>
    <w:multiLevelType w:val="hybridMultilevel"/>
    <w:tmpl w:val="1A5804C2"/>
    <w:lvl w:ilvl="0" w:tplc="F9E438EA">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15:restartNumberingAfterBreak="0">
    <w:nsid w:val="453E0DDB"/>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8750E5"/>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483C64A6"/>
    <w:multiLevelType w:val="hybridMultilevel"/>
    <w:tmpl w:val="1750AD0E"/>
    <w:lvl w:ilvl="0" w:tplc="9DB21DC0">
      <w:start w:val="1"/>
      <w:numFmt w:val="taiwaneseCountingThousand"/>
      <w:lvlText w:val="（%1）"/>
      <w:lvlJc w:val="left"/>
      <w:pPr>
        <w:tabs>
          <w:tab w:val="num" w:pos="2160"/>
        </w:tabs>
        <w:ind w:left="216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486758A6"/>
    <w:multiLevelType w:val="hybridMultilevel"/>
    <w:tmpl w:val="413AB9BE"/>
    <w:lvl w:ilvl="0" w:tplc="45DEE340">
      <w:start w:val="1"/>
      <w:numFmt w:val="taiwaneseCountingThousand"/>
      <w:lvlText w:val="（%1）"/>
      <w:lvlJc w:val="left"/>
      <w:pPr>
        <w:tabs>
          <w:tab w:val="num" w:pos="2160"/>
        </w:tabs>
        <w:ind w:left="216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4A0275C9"/>
    <w:multiLevelType w:val="hybridMultilevel"/>
    <w:tmpl w:val="D5EECB28"/>
    <w:lvl w:ilvl="0" w:tplc="7B2E39CA">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15:restartNumberingAfterBreak="0">
    <w:nsid w:val="4A056E3E"/>
    <w:multiLevelType w:val="hybridMultilevel"/>
    <w:tmpl w:val="265E270A"/>
    <w:lvl w:ilvl="0" w:tplc="3544ECD2">
      <w:start w:val="1"/>
      <w:numFmt w:val="taiwaneseCountingThousand"/>
      <w:lvlText w:val="（%1）"/>
      <w:lvlJc w:val="left"/>
      <w:pPr>
        <w:tabs>
          <w:tab w:val="num" w:pos="2520"/>
        </w:tabs>
        <w:ind w:left="2520" w:hanging="720"/>
      </w:pPr>
      <w:rPr>
        <w:rFonts w:hint="eastAsia"/>
      </w:rPr>
    </w:lvl>
    <w:lvl w:ilvl="1" w:tplc="04090015">
      <w:start w:val="1"/>
      <w:numFmt w:val="taiwaneseCountingThousand"/>
      <w:lvlText w:val="%2、"/>
      <w:lvlJc w:val="left"/>
      <w:pPr>
        <w:tabs>
          <w:tab w:val="num" w:pos="1740"/>
        </w:tabs>
        <w:ind w:left="1740" w:hanging="480"/>
      </w:pPr>
      <w:rPr>
        <w:rFonts w:hint="eastAsia"/>
      </w:r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26" w15:restartNumberingAfterBreak="0">
    <w:nsid w:val="4D073894"/>
    <w:multiLevelType w:val="hybridMultilevel"/>
    <w:tmpl w:val="0E9A6DD8"/>
    <w:lvl w:ilvl="0" w:tplc="6CDC969E">
      <w:start w:val="1"/>
      <w:numFmt w:val="taiwaneseCountingThousand"/>
      <w:lvlText w:val="%1、"/>
      <w:lvlJc w:val="left"/>
      <w:pPr>
        <w:ind w:left="2659"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15:restartNumberingAfterBreak="0">
    <w:nsid w:val="4E0E2798"/>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1612FBA"/>
    <w:multiLevelType w:val="hybridMultilevel"/>
    <w:tmpl w:val="7AEC0C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465690"/>
    <w:multiLevelType w:val="hybridMultilevel"/>
    <w:tmpl w:val="ACCCAFFC"/>
    <w:lvl w:ilvl="0" w:tplc="F1109248">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15:restartNumberingAfterBreak="0">
    <w:nsid w:val="54BE526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5B3D98"/>
    <w:multiLevelType w:val="hybridMultilevel"/>
    <w:tmpl w:val="A5460BFE"/>
    <w:lvl w:ilvl="0" w:tplc="80E2EDD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D727CE"/>
    <w:multiLevelType w:val="hybridMultilevel"/>
    <w:tmpl w:val="73667150"/>
    <w:lvl w:ilvl="0" w:tplc="F2764C0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2F5ADB"/>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5D3329D2"/>
    <w:multiLevelType w:val="hybridMultilevel"/>
    <w:tmpl w:val="D25EEBDE"/>
    <w:lvl w:ilvl="0" w:tplc="30EEA47C">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5" w15:restartNumberingAfterBreak="0">
    <w:nsid w:val="67C704F0"/>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FD93911"/>
    <w:multiLevelType w:val="hybridMultilevel"/>
    <w:tmpl w:val="4D7CEFF2"/>
    <w:lvl w:ilvl="0" w:tplc="0BA86E48">
      <w:start w:val="1"/>
      <w:numFmt w:val="taiwaneseCountingThousand"/>
      <w:lvlText w:val="%1、"/>
      <w:lvlJc w:val="left"/>
      <w:pPr>
        <w:tabs>
          <w:tab w:val="num" w:pos="1859"/>
        </w:tabs>
        <w:ind w:left="1859"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1D2527F"/>
    <w:multiLevelType w:val="hybridMultilevel"/>
    <w:tmpl w:val="30E08EBA"/>
    <w:lvl w:ilvl="0" w:tplc="8580E616">
      <w:start w:val="1"/>
      <w:numFmt w:val="taiwaneseCountingThousand"/>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38" w15:restartNumberingAfterBreak="0">
    <w:nsid w:val="71D9610E"/>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9" w15:restartNumberingAfterBreak="0">
    <w:nsid w:val="71E52605"/>
    <w:multiLevelType w:val="hybridMultilevel"/>
    <w:tmpl w:val="F0F0E9CE"/>
    <w:lvl w:ilvl="0" w:tplc="3320DFCE">
      <w:start w:val="1"/>
      <w:numFmt w:val="taiwaneseCountingThousand"/>
      <w:lvlText w:val="%1、"/>
      <w:lvlJc w:val="left"/>
      <w:pPr>
        <w:ind w:left="1421" w:hanging="480"/>
      </w:pPr>
      <w:rPr>
        <w:rFonts w:hint="default"/>
        <w:lang w:val="en-US"/>
      </w:rPr>
    </w:lvl>
    <w:lvl w:ilvl="1" w:tplc="04090019" w:tentative="1">
      <w:start w:val="1"/>
      <w:numFmt w:val="ideographTraditional"/>
      <w:lvlText w:val="%2、"/>
      <w:lvlJc w:val="left"/>
      <w:pPr>
        <w:ind w:left="1901" w:hanging="480"/>
      </w:pPr>
    </w:lvl>
    <w:lvl w:ilvl="2" w:tplc="0409001B" w:tentative="1">
      <w:start w:val="1"/>
      <w:numFmt w:val="lowerRoman"/>
      <w:lvlText w:val="%3."/>
      <w:lvlJc w:val="right"/>
      <w:pPr>
        <w:ind w:left="2381" w:hanging="480"/>
      </w:pPr>
    </w:lvl>
    <w:lvl w:ilvl="3" w:tplc="0409000F" w:tentative="1">
      <w:start w:val="1"/>
      <w:numFmt w:val="decimal"/>
      <w:lvlText w:val="%4."/>
      <w:lvlJc w:val="left"/>
      <w:pPr>
        <w:ind w:left="2861" w:hanging="480"/>
      </w:pPr>
    </w:lvl>
    <w:lvl w:ilvl="4" w:tplc="04090019" w:tentative="1">
      <w:start w:val="1"/>
      <w:numFmt w:val="ideographTraditional"/>
      <w:lvlText w:val="%5、"/>
      <w:lvlJc w:val="left"/>
      <w:pPr>
        <w:ind w:left="3341" w:hanging="480"/>
      </w:pPr>
    </w:lvl>
    <w:lvl w:ilvl="5" w:tplc="0409001B" w:tentative="1">
      <w:start w:val="1"/>
      <w:numFmt w:val="lowerRoman"/>
      <w:lvlText w:val="%6."/>
      <w:lvlJc w:val="right"/>
      <w:pPr>
        <w:ind w:left="3821" w:hanging="480"/>
      </w:pPr>
    </w:lvl>
    <w:lvl w:ilvl="6" w:tplc="0409000F" w:tentative="1">
      <w:start w:val="1"/>
      <w:numFmt w:val="decimal"/>
      <w:lvlText w:val="%7."/>
      <w:lvlJc w:val="left"/>
      <w:pPr>
        <w:ind w:left="4301" w:hanging="480"/>
      </w:pPr>
    </w:lvl>
    <w:lvl w:ilvl="7" w:tplc="04090019" w:tentative="1">
      <w:start w:val="1"/>
      <w:numFmt w:val="ideographTraditional"/>
      <w:lvlText w:val="%8、"/>
      <w:lvlJc w:val="left"/>
      <w:pPr>
        <w:ind w:left="4781" w:hanging="480"/>
      </w:pPr>
    </w:lvl>
    <w:lvl w:ilvl="8" w:tplc="0409001B" w:tentative="1">
      <w:start w:val="1"/>
      <w:numFmt w:val="lowerRoman"/>
      <w:lvlText w:val="%9."/>
      <w:lvlJc w:val="right"/>
      <w:pPr>
        <w:ind w:left="5261" w:hanging="480"/>
      </w:pPr>
    </w:lvl>
  </w:abstractNum>
  <w:abstractNum w:abstractNumId="40" w15:restartNumberingAfterBreak="0">
    <w:nsid w:val="7280670B"/>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D1258A"/>
    <w:multiLevelType w:val="hybridMultilevel"/>
    <w:tmpl w:val="E1F05D18"/>
    <w:lvl w:ilvl="0" w:tplc="E83E22F6">
      <w:start w:val="1"/>
      <w:numFmt w:val="ideographLegalTradition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CE57AE"/>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6A5884"/>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7BCB6AC0"/>
    <w:multiLevelType w:val="hybridMultilevel"/>
    <w:tmpl w:val="721C2AB8"/>
    <w:lvl w:ilvl="0" w:tplc="56C89988">
      <w:start w:val="1"/>
      <w:numFmt w:val="taiwaneseCountingThousand"/>
      <w:lvlText w:val="(%1)"/>
      <w:lvlJc w:val="left"/>
      <w:pPr>
        <w:ind w:left="1061" w:hanging="480"/>
      </w:pPr>
      <w:rPr>
        <w:rFonts w:ascii="Times New Roman" w:hAnsi="Times New Roman" w:cs="Times New Roman" w:hint="default"/>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num w:numId="1">
    <w:abstractNumId w:val="18"/>
  </w:num>
  <w:num w:numId="2">
    <w:abstractNumId w:val="32"/>
  </w:num>
  <w:num w:numId="3">
    <w:abstractNumId w:val="41"/>
  </w:num>
  <w:num w:numId="4">
    <w:abstractNumId w:val="30"/>
  </w:num>
  <w:num w:numId="5">
    <w:abstractNumId w:val="28"/>
  </w:num>
  <w:num w:numId="6">
    <w:abstractNumId w:val="39"/>
  </w:num>
  <w:num w:numId="7">
    <w:abstractNumId w:val="9"/>
  </w:num>
  <w:num w:numId="8">
    <w:abstractNumId w:val="44"/>
  </w:num>
  <w:num w:numId="9">
    <w:abstractNumId w:val="36"/>
  </w:num>
  <w:num w:numId="10">
    <w:abstractNumId w:val="31"/>
  </w:num>
  <w:num w:numId="11">
    <w:abstractNumId w:val="1"/>
  </w:num>
  <w:num w:numId="12">
    <w:abstractNumId w:val="21"/>
  </w:num>
  <w:num w:numId="13">
    <w:abstractNumId w:val="27"/>
  </w:num>
  <w:num w:numId="14">
    <w:abstractNumId w:val="3"/>
  </w:num>
  <w:num w:numId="15">
    <w:abstractNumId w:val="33"/>
  </w:num>
  <w:num w:numId="16">
    <w:abstractNumId w:val="43"/>
  </w:num>
  <w:num w:numId="17">
    <w:abstractNumId w:val="6"/>
  </w:num>
  <w:num w:numId="18">
    <w:abstractNumId w:val="22"/>
  </w:num>
  <w:num w:numId="19">
    <w:abstractNumId w:val="23"/>
  </w:num>
  <w:num w:numId="20">
    <w:abstractNumId w:val="35"/>
  </w:num>
  <w:num w:numId="21">
    <w:abstractNumId w:val="34"/>
  </w:num>
  <w:num w:numId="22">
    <w:abstractNumId w:val="26"/>
  </w:num>
  <w:num w:numId="23">
    <w:abstractNumId w:val="16"/>
  </w:num>
  <w:num w:numId="24">
    <w:abstractNumId w:val="29"/>
  </w:num>
  <w:num w:numId="25">
    <w:abstractNumId w:val="24"/>
  </w:num>
  <w:num w:numId="26">
    <w:abstractNumId w:val="19"/>
  </w:num>
  <w:num w:numId="27">
    <w:abstractNumId w:val="0"/>
  </w:num>
  <w:num w:numId="28">
    <w:abstractNumId w:val="20"/>
  </w:num>
  <w:num w:numId="29">
    <w:abstractNumId w:val="4"/>
  </w:num>
  <w:num w:numId="30">
    <w:abstractNumId w:val="5"/>
  </w:num>
  <w:num w:numId="31">
    <w:abstractNumId w:val="42"/>
  </w:num>
  <w:num w:numId="32">
    <w:abstractNumId w:val="13"/>
  </w:num>
  <w:num w:numId="33">
    <w:abstractNumId w:val="10"/>
  </w:num>
  <w:num w:numId="34">
    <w:abstractNumId w:val="2"/>
  </w:num>
  <w:num w:numId="35">
    <w:abstractNumId w:val="7"/>
  </w:num>
  <w:num w:numId="36">
    <w:abstractNumId w:val="15"/>
  </w:num>
  <w:num w:numId="37">
    <w:abstractNumId w:val="38"/>
  </w:num>
  <w:num w:numId="38">
    <w:abstractNumId w:val="8"/>
  </w:num>
  <w:num w:numId="39">
    <w:abstractNumId w:val="14"/>
  </w:num>
  <w:num w:numId="40">
    <w:abstractNumId w:val="11"/>
  </w:num>
  <w:num w:numId="41">
    <w:abstractNumId w:val="12"/>
  </w:num>
  <w:num w:numId="42">
    <w:abstractNumId w:val="17"/>
  </w:num>
  <w:num w:numId="43">
    <w:abstractNumId w:val="25"/>
  </w:num>
  <w:num w:numId="44">
    <w:abstractNumId w:val="40"/>
  </w:num>
  <w:num w:numId="45">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CC"/>
    <w:rsid w:val="00001379"/>
    <w:rsid w:val="00001D83"/>
    <w:rsid w:val="00002193"/>
    <w:rsid w:val="00002EFF"/>
    <w:rsid w:val="0001680C"/>
    <w:rsid w:val="00017396"/>
    <w:rsid w:val="0002509E"/>
    <w:rsid w:val="00025F9E"/>
    <w:rsid w:val="000303E3"/>
    <w:rsid w:val="00031BDA"/>
    <w:rsid w:val="00033906"/>
    <w:rsid w:val="00035909"/>
    <w:rsid w:val="00035A15"/>
    <w:rsid w:val="000450B0"/>
    <w:rsid w:val="00047A57"/>
    <w:rsid w:val="0006582D"/>
    <w:rsid w:val="00067A14"/>
    <w:rsid w:val="00073550"/>
    <w:rsid w:val="000736C8"/>
    <w:rsid w:val="00075415"/>
    <w:rsid w:val="00083B87"/>
    <w:rsid w:val="000871C0"/>
    <w:rsid w:val="00097357"/>
    <w:rsid w:val="000B7E05"/>
    <w:rsid w:val="000C560E"/>
    <w:rsid w:val="000D1231"/>
    <w:rsid w:val="000D3FAF"/>
    <w:rsid w:val="000D6EA4"/>
    <w:rsid w:val="000E3A53"/>
    <w:rsid w:val="000E6E6C"/>
    <w:rsid w:val="000E6F86"/>
    <w:rsid w:val="000F3707"/>
    <w:rsid w:val="000F635A"/>
    <w:rsid w:val="000F655D"/>
    <w:rsid w:val="000F6771"/>
    <w:rsid w:val="001271CA"/>
    <w:rsid w:val="001408E1"/>
    <w:rsid w:val="00140BFD"/>
    <w:rsid w:val="0015698D"/>
    <w:rsid w:val="001731B9"/>
    <w:rsid w:val="00173449"/>
    <w:rsid w:val="00173EF0"/>
    <w:rsid w:val="00184263"/>
    <w:rsid w:val="001857F2"/>
    <w:rsid w:val="001A3B89"/>
    <w:rsid w:val="001B09D3"/>
    <w:rsid w:val="001B57CF"/>
    <w:rsid w:val="001C3308"/>
    <w:rsid w:val="001D4438"/>
    <w:rsid w:val="001D4E06"/>
    <w:rsid w:val="001E39D8"/>
    <w:rsid w:val="001E6498"/>
    <w:rsid w:val="001F33CD"/>
    <w:rsid w:val="001F5C06"/>
    <w:rsid w:val="00202567"/>
    <w:rsid w:val="00225879"/>
    <w:rsid w:val="002273F5"/>
    <w:rsid w:val="002348F8"/>
    <w:rsid w:val="002361B7"/>
    <w:rsid w:val="002430CE"/>
    <w:rsid w:val="0024531F"/>
    <w:rsid w:val="00253DBB"/>
    <w:rsid w:val="00255FF5"/>
    <w:rsid w:val="00260CE5"/>
    <w:rsid w:val="0027655E"/>
    <w:rsid w:val="0027734F"/>
    <w:rsid w:val="002856AA"/>
    <w:rsid w:val="00285D64"/>
    <w:rsid w:val="002869F1"/>
    <w:rsid w:val="00290ABF"/>
    <w:rsid w:val="0029423D"/>
    <w:rsid w:val="00294928"/>
    <w:rsid w:val="00296964"/>
    <w:rsid w:val="002A0021"/>
    <w:rsid w:val="002A232D"/>
    <w:rsid w:val="002A3F2F"/>
    <w:rsid w:val="002A5714"/>
    <w:rsid w:val="002B262F"/>
    <w:rsid w:val="002B5AFE"/>
    <w:rsid w:val="002C434D"/>
    <w:rsid w:val="002C4E87"/>
    <w:rsid w:val="002C766E"/>
    <w:rsid w:val="002D3AA1"/>
    <w:rsid w:val="002D7B07"/>
    <w:rsid w:val="002D7C49"/>
    <w:rsid w:val="002F0F4F"/>
    <w:rsid w:val="003054BA"/>
    <w:rsid w:val="00310166"/>
    <w:rsid w:val="00310B83"/>
    <w:rsid w:val="00332F5D"/>
    <w:rsid w:val="00335719"/>
    <w:rsid w:val="0034493F"/>
    <w:rsid w:val="00347763"/>
    <w:rsid w:val="00352143"/>
    <w:rsid w:val="00354E57"/>
    <w:rsid w:val="0035501D"/>
    <w:rsid w:val="003557F4"/>
    <w:rsid w:val="00363D9B"/>
    <w:rsid w:val="003753D3"/>
    <w:rsid w:val="00375ED7"/>
    <w:rsid w:val="00384CCD"/>
    <w:rsid w:val="00391B2C"/>
    <w:rsid w:val="003A4D7C"/>
    <w:rsid w:val="003A65C3"/>
    <w:rsid w:val="003A6BA5"/>
    <w:rsid w:val="003B3098"/>
    <w:rsid w:val="003B3296"/>
    <w:rsid w:val="003B7469"/>
    <w:rsid w:val="003B7F8B"/>
    <w:rsid w:val="003C34E1"/>
    <w:rsid w:val="003D1782"/>
    <w:rsid w:val="003D390C"/>
    <w:rsid w:val="003D3FA2"/>
    <w:rsid w:val="003D7C4E"/>
    <w:rsid w:val="003E0353"/>
    <w:rsid w:val="003E5113"/>
    <w:rsid w:val="0040766C"/>
    <w:rsid w:val="00411AAB"/>
    <w:rsid w:val="00431774"/>
    <w:rsid w:val="00431CC3"/>
    <w:rsid w:val="00434CFE"/>
    <w:rsid w:val="0043676B"/>
    <w:rsid w:val="004406F7"/>
    <w:rsid w:val="00444420"/>
    <w:rsid w:val="00445BB7"/>
    <w:rsid w:val="00454F29"/>
    <w:rsid w:val="004618B9"/>
    <w:rsid w:val="00471A3C"/>
    <w:rsid w:val="00481FDA"/>
    <w:rsid w:val="00485C3C"/>
    <w:rsid w:val="00494025"/>
    <w:rsid w:val="00496096"/>
    <w:rsid w:val="004A00F7"/>
    <w:rsid w:val="004A49C9"/>
    <w:rsid w:val="004A6339"/>
    <w:rsid w:val="004D3722"/>
    <w:rsid w:val="004D3B0B"/>
    <w:rsid w:val="004E16DE"/>
    <w:rsid w:val="004E4A75"/>
    <w:rsid w:val="004F2BB6"/>
    <w:rsid w:val="004F304D"/>
    <w:rsid w:val="00514806"/>
    <w:rsid w:val="00521EF4"/>
    <w:rsid w:val="00541214"/>
    <w:rsid w:val="00542497"/>
    <w:rsid w:val="00544F21"/>
    <w:rsid w:val="00547E41"/>
    <w:rsid w:val="005500EA"/>
    <w:rsid w:val="00552146"/>
    <w:rsid w:val="00555E7B"/>
    <w:rsid w:val="00561DD5"/>
    <w:rsid w:val="00562029"/>
    <w:rsid w:val="005634BA"/>
    <w:rsid w:val="00564D17"/>
    <w:rsid w:val="00574B59"/>
    <w:rsid w:val="0058008D"/>
    <w:rsid w:val="0058224E"/>
    <w:rsid w:val="005828AF"/>
    <w:rsid w:val="005A5995"/>
    <w:rsid w:val="005B095D"/>
    <w:rsid w:val="005B1E5F"/>
    <w:rsid w:val="005B3615"/>
    <w:rsid w:val="005C0CF5"/>
    <w:rsid w:val="005C3469"/>
    <w:rsid w:val="005C4FC2"/>
    <w:rsid w:val="005D0709"/>
    <w:rsid w:val="005E0FBF"/>
    <w:rsid w:val="005E2D96"/>
    <w:rsid w:val="005E77E5"/>
    <w:rsid w:val="005F016E"/>
    <w:rsid w:val="005F02DA"/>
    <w:rsid w:val="005F6CCA"/>
    <w:rsid w:val="005F7B7E"/>
    <w:rsid w:val="0060022D"/>
    <w:rsid w:val="00604303"/>
    <w:rsid w:val="006045AB"/>
    <w:rsid w:val="0061196F"/>
    <w:rsid w:val="00613A52"/>
    <w:rsid w:val="0061424C"/>
    <w:rsid w:val="0061643F"/>
    <w:rsid w:val="00622A12"/>
    <w:rsid w:val="0062321B"/>
    <w:rsid w:val="006262AE"/>
    <w:rsid w:val="00633D78"/>
    <w:rsid w:val="00634E3F"/>
    <w:rsid w:val="0063529E"/>
    <w:rsid w:val="0064167A"/>
    <w:rsid w:val="006428A4"/>
    <w:rsid w:val="00652D2D"/>
    <w:rsid w:val="006632D0"/>
    <w:rsid w:val="00665DFF"/>
    <w:rsid w:val="00665F99"/>
    <w:rsid w:val="00677B67"/>
    <w:rsid w:val="0068539E"/>
    <w:rsid w:val="00687C83"/>
    <w:rsid w:val="00690EBB"/>
    <w:rsid w:val="00694B04"/>
    <w:rsid w:val="006A100E"/>
    <w:rsid w:val="006A4315"/>
    <w:rsid w:val="006A680A"/>
    <w:rsid w:val="006B3232"/>
    <w:rsid w:val="006B33FE"/>
    <w:rsid w:val="006B63ED"/>
    <w:rsid w:val="006C2BE5"/>
    <w:rsid w:val="006C5A98"/>
    <w:rsid w:val="006D32B3"/>
    <w:rsid w:val="006D7025"/>
    <w:rsid w:val="006E22BB"/>
    <w:rsid w:val="006F1C18"/>
    <w:rsid w:val="006F4A1D"/>
    <w:rsid w:val="0070123A"/>
    <w:rsid w:val="00721074"/>
    <w:rsid w:val="007220D8"/>
    <w:rsid w:val="00722D8D"/>
    <w:rsid w:val="00724AA3"/>
    <w:rsid w:val="0074054F"/>
    <w:rsid w:val="00747C48"/>
    <w:rsid w:val="0075038E"/>
    <w:rsid w:val="0075631D"/>
    <w:rsid w:val="00757393"/>
    <w:rsid w:val="00764D46"/>
    <w:rsid w:val="00770C4F"/>
    <w:rsid w:val="00774775"/>
    <w:rsid w:val="007819DE"/>
    <w:rsid w:val="007852C2"/>
    <w:rsid w:val="0078775E"/>
    <w:rsid w:val="00792459"/>
    <w:rsid w:val="00796D5A"/>
    <w:rsid w:val="007979DE"/>
    <w:rsid w:val="007A6F09"/>
    <w:rsid w:val="007D0284"/>
    <w:rsid w:val="007D1607"/>
    <w:rsid w:val="007D6881"/>
    <w:rsid w:val="007F00ED"/>
    <w:rsid w:val="007F11C8"/>
    <w:rsid w:val="007F445F"/>
    <w:rsid w:val="00807ACE"/>
    <w:rsid w:val="008112E6"/>
    <w:rsid w:val="00815B8F"/>
    <w:rsid w:val="008231A1"/>
    <w:rsid w:val="00835E8E"/>
    <w:rsid w:val="00841DFE"/>
    <w:rsid w:val="008443F0"/>
    <w:rsid w:val="00855C7D"/>
    <w:rsid w:val="00860C99"/>
    <w:rsid w:val="00865BBF"/>
    <w:rsid w:val="008A71CC"/>
    <w:rsid w:val="008B38DF"/>
    <w:rsid w:val="008C139C"/>
    <w:rsid w:val="008C4117"/>
    <w:rsid w:val="008E13F6"/>
    <w:rsid w:val="008E1D65"/>
    <w:rsid w:val="008F062E"/>
    <w:rsid w:val="008F21E0"/>
    <w:rsid w:val="00907F2C"/>
    <w:rsid w:val="009101A7"/>
    <w:rsid w:val="00930C28"/>
    <w:rsid w:val="00937146"/>
    <w:rsid w:val="0094063C"/>
    <w:rsid w:val="00941977"/>
    <w:rsid w:val="00992F1B"/>
    <w:rsid w:val="00993042"/>
    <w:rsid w:val="00996B65"/>
    <w:rsid w:val="009B020D"/>
    <w:rsid w:val="009C429C"/>
    <w:rsid w:val="009C4641"/>
    <w:rsid w:val="009E53A6"/>
    <w:rsid w:val="009F0113"/>
    <w:rsid w:val="009F2004"/>
    <w:rsid w:val="009F292C"/>
    <w:rsid w:val="00A01B72"/>
    <w:rsid w:val="00A020FE"/>
    <w:rsid w:val="00A03E7A"/>
    <w:rsid w:val="00A1498A"/>
    <w:rsid w:val="00A15E15"/>
    <w:rsid w:val="00A22DC1"/>
    <w:rsid w:val="00A25D63"/>
    <w:rsid w:val="00A3020B"/>
    <w:rsid w:val="00A3242B"/>
    <w:rsid w:val="00A40C44"/>
    <w:rsid w:val="00A44CF5"/>
    <w:rsid w:val="00A47AF1"/>
    <w:rsid w:val="00A637E3"/>
    <w:rsid w:val="00A70545"/>
    <w:rsid w:val="00A7371E"/>
    <w:rsid w:val="00A818E5"/>
    <w:rsid w:val="00A831CD"/>
    <w:rsid w:val="00A84A11"/>
    <w:rsid w:val="00A87B61"/>
    <w:rsid w:val="00A95968"/>
    <w:rsid w:val="00AA3CED"/>
    <w:rsid w:val="00AD72EB"/>
    <w:rsid w:val="00AE380B"/>
    <w:rsid w:val="00AE7BF1"/>
    <w:rsid w:val="00AE7FC5"/>
    <w:rsid w:val="00B063D9"/>
    <w:rsid w:val="00B12F8B"/>
    <w:rsid w:val="00B13C25"/>
    <w:rsid w:val="00B165BF"/>
    <w:rsid w:val="00B1798F"/>
    <w:rsid w:val="00B20EDA"/>
    <w:rsid w:val="00B22EB6"/>
    <w:rsid w:val="00B330E5"/>
    <w:rsid w:val="00B36104"/>
    <w:rsid w:val="00B413D5"/>
    <w:rsid w:val="00B421C8"/>
    <w:rsid w:val="00B424ED"/>
    <w:rsid w:val="00B50DCE"/>
    <w:rsid w:val="00B5311B"/>
    <w:rsid w:val="00B6104D"/>
    <w:rsid w:val="00B63806"/>
    <w:rsid w:val="00B64B01"/>
    <w:rsid w:val="00B65345"/>
    <w:rsid w:val="00B66408"/>
    <w:rsid w:val="00B67E54"/>
    <w:rsid w:val="00B80EC8"/>
    <w:rsid w:val="00B93C4E"/>
    <w:rsid w:val="00BA1E73"/>
    <w:rsid w:val="00BA3559"/>
    <w:rsid w:val="00BA4093"/>
    <w:rsid w:val="00BB1E82"/>
    <w:rsid w:val="00BB6094"/>
    <w:rsid w:val="00BB6FD5"/>
    <w:rsid w:val="00BC7905"/>
    <w:rsid w:val="00BD721B"/>
    <w:rsid w:val="00BE2692"/>
    <w:rsid w:val="00BF5093"/>
    <w:rsid w:val="00C163CC"/>
    <w:rsid w:val="00C1646C"/>
    <w:rsid w:val="00C168B0"/>
    <w:rsid w:val="00C2040B"/>
    <w:rsid w:val="00C24906"/>
    <w:rsid w:val="00C27899"/>
    <w:rsid w:val="00C30BF0"/>
    <w:rsid w:val="00C32F5E"/>
    <w:rsid w:val="00C35108"/>
    <w:rsid w:val="00C36226"/>
    <w:rsid w:val="00C51062"/>
    <w:rsid w:val="00C60E01"/>
    <w:rsid w:val="00C72806"/>
    <w:rsid w:val="00C82D0D"/>
    <w:rsid w:val="00C90AE1"/>
    <w:rsid w:val="00C911DE"/>
    <w:rsid w:val="00C941F5"/>
    <w:rsid w:val="00C9671B"/>
    <w:rsid w:val="00CA1BD3"/>
    <w:rsid w:val="00CA426B"/>
    <w:rsid w:val="00CB20E6"/>
    <w:rsid w:val="00CB7EFC"/>
    <w:rsid w:val="00CC74BE"/>
    <w:rsid w:val="00CE4A7B"/>
    <w:rsid w:val="00CE4D83"/>
    <w:rsid w:val="00CE6B56"/>
    <w:rsid w:val="00CF7CFF"/>
    <w:rsid w:val="00D01BCA"/>
    <w:rsid w:val="00D028DB"/>
    <w:rsid w:val="00D11B18"/>
    <w:rsid w:val="00D16578"/>
    <w:rsid w:val="00D16D53"/>
    <w:rsid w:val="00D274E4"/>
    <w:rsid w:val="00D3164F"/>
    <w:rsid w:val="00D33BA6"/>
    <w:rsid w:val="00D41225"/>
    <w:rsid w:val="00D4736E"/>
    <w:rsid w:val="00D50229"/>
    <w:rsid w:val="00D56BDF"/>
    <w:rsid w:val="00D6589F"/>
    <w:rsid w:val="00D65D9F"/>
    <w:rsid w:val="00D744B2"/>
    <w:rsid w:val="00D75CEA"/>
    <w:rsid w:val="00D7727A"/>
    <w:rsid w:val="00D85492"/>
    <w:rsid w:val="00D93C03"/>
    <w:rsid w:val="00DA1CBC"/>
    <w:rsid w:val="00DA252A"/>
    <w:rsid w:val="00DA5468"/>
    <w:rsid w:val="00DB06C2"/>
    <w:rsid w:val="00DC06B4"/>
    <w:rsid w:val="00DC07FA"/>
    <w:rsid w:val="00DD0788"/>
    <w:rsid w:val="00DD1186"/>
    <w:rsid w:val="00DD2015"/>
    <w:rsid w:val="00DF66D8"/>
    <w:rsid w:val="00DF7537"/>
    <w:rsid w:val="00E00C77"/>
    <w:rsid w:val="00E13297"/>
    <w:rsid w:val="00E16A21"/>
    <w:rsid w:val="00E25BC7"/>
    <w:rsid w:val="00E36DCC"/>
    <w:rsid w:val="00E408F1"/>
    <w:rsid w:val="00E5418B"/>
    <w:rsid w:val="00E6719C"/>
    <w:rsid w:val="00E74882"/>
    <w:rsid w:val="00E82BC5"/>
    <w:rsid w:val="00E90C35"/>
    <w:rsid w:val="00EA1126"/>
    <w:rsid w:val="00EA2E00"/>
    <w:rsid w:val="00EA5931"/>
    <w:rsid w:val="00EA7770"/>
    <w:rsid w:val="00EA7A89"/>
    <w:rsid w:val="00EB3833"/>
    <w:rsid w:val="00EB4ED6"/>
    <w:rsid w:val="00EC0BAC"/>
    <w:rsid w:val="00EC45FE"/>
    <w:rsid w:val="00ED1A41"/>
    <w:rsid w:val="00EE3321"/>
    <w:rsid w:val="00EF0648"/>
    <w:rsid w:val="00EF47DC"/>
    <w:rsid w:val="00EF51DB"/>
    <w:rsid w:val="00F01F6C"/>
    <w:rsid w:val="00F02270"/>
    <w:rsid w:val="00F1605D"/>
    <w:rsid w:val="00F20B1F"/>
    <w:rsid w:val="00F2174F"/>
    <w:rsid w:val="00F2178E"/>
    <w:rsid w:val="00F246E9"/>
    <w:rsid w:val="00F24E44"/>
    <w:rsid w:val="00F30DB8"/>
    <w:rsid w:val="00F30E0F"/>
    <w:rsid w:val="00F338BE"/>
    <w:rsid w:val="00F35E1A"/>
    <w:rsid w:val="00F35FFC"/>
    <w:rsid w:val="00F4003C"/>
    <w:rsid w:val="00F43A30"/>
    <w:rsid w:val="00F45BA8"/>
    <w:rsid w:val="00F46FEB"/>
    <w:rsid w:val="00F508B8"/>
    <w:rsid w:val="00F51FE4"/>
    <w:rsid w:val="00F53473"/>
    <w:rsid w:val="00F6370A"/>
    <w:rsid w:val="00F66B30"/>
    <w:rsid w:val="00F9085F"/>
    <w:rsid w:val="00FA7EBE"/>
    <w:rsid w:val="00FB35CA"/>
    <w:rsid w:val="00FB77D3"/>
    <w:rsid w:val="00FC1E7C"/>
    <w:rsid w:val="00FC715E"/>
    <w:rsid w:val="00FE7DD6"/>
    <w:rsid w:val="00FF0D73"/>
    <w:rsid w:val="00FF282A"/>
    <w:rsid w:val="00FF469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BF8CFE-A2AC-4F3D-B2A4-02557CD7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6C2"/>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0F6771"/>
    <w:pPr>
      <w:keepNext/>
      <w:spacing w:before="180" w:after="180" w:line="360" w:lineRule="auto"/>
      <w:jc w:val="center"/>
      <w:outlineLvl w:val="0"/>
    </w:pPr>
    <w:rPr>
      <w:rFonts w:ascii="Calibri Light" w:eastAsia="標楷體" w:hAnsi="Calibri Light"/>
      <w:b/>
      <w:bCs/>
      <w:kern w:val="52"/>
      <w:sz w:val="32"/>
      <w:szCs w:val="52"/>
    </w:rPr>
  </w:style>
  <w:style w:type="paragraph" w:styleId="2">
    <w:name w:val="heading 2"/>
    <w:basedOn w:val="a"/>
    <w:next w:val="a"/>
    <w:link w:val="20"/>
    <w:uiPriority w:val="9"/>
    <w:unhideWhenUsed/>
    <w:qFormat/>
    <w:rsid w:val="000F6771"/>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6C2"/>
    <w:pPr>
      <w:tabs>
        <w:tab w:val="center" w:pos="4153"/>
        <w:tab w:val="right" w:pos="8306"/>
      </w:tabs>
      <w:snapToGrid w:val="0"/>
    </w:pPr>
    <w:rPr>
      <w:sz w:val="20"/>
    </w:rPr>
  </w:style>
  <w:style w:type="character" w:customStyle="1" w:styleId="a4">
    <w:name w:val="頁首 字元"/>
    <w:basedOn w:val="a0"/>
    <w:link w:val="a3"/>
    <w:uiPriority w:val="99"/>
    <w:rsid w:val="00DB06C2"/>
    <w:rPr>
      <w:sz w:val="20"/>
      <w:szCs w:val="20"/>
    </w:rPr>
  </w:style>
  <w:style w:type="paragraph" w:styleId="a5">
    <w:name w:val="footer"/>
    <w:basedOn w:val="a"/>
    <w:link w:val="a6"/>
    <w:uiPriority w:val="99"/>
    <w:unhideWhenUsed/>
    <w:rsid w:val="00DB06C2"/>
    <w:pPr>
      <w:tabs>
        <w:tab w:val="center" w:pos="4153"/>
        <w:tab w:val="right" w:pos="8306"/>
      </w:tabs>
      <w:snapToGrid w:val="0"/>
    </w:pPr>
    <w:rPr>
      <w:sz w:val="20"/>
    </w:rPr>
  </w:style>
  <w:style w:type="character" w:customStyle="1" w:styleId="a6">
    <w:name w:val="頁尾 字元"/>
    <w:basedOn w:val="a0"/>
    <w:link w:val="a5"/>
    <w:uiPriority w:val="99"/>
    <w:rsid w:val="00DB06C2"/>
    <w:rPr>
      <w:sz w:val="20"/>
      <w:szCs w:val="20"/>
    </w:rPr>
  </w:style>
  <w:style w:type="paragraph" w:styleId="11">
    <w:name w:val="toc 1"/>
    <w:basedOn w:val="a"/>
    <w:next w:val="a"/>
    <w:autoRedefine/>
    <w:uiPriority w:val="39"/>
    <w:unhideWhenUsed/>
    <w:qFormat/>
    <w:rsid w:val="00DB06C2"/>
    <w:pPr>
      <w:tabs>
        <w:tab w:val="right" w:leader="dot" w:pos="9638"/>
      </w:tabs>
    </w:pPr>
    <w:rPr>
      <w:rFonts w:ascii="標楷體" w:eastAsia="標楷體" w:hAnsi="標楷體"/>
      <w:b/>
      <w:sz w:val="32"/>
      <w:szCs w:val="22"/>
    </w:rPr>
  </w:style>
  <w:style w:type="paragraph" w:styleId="21">
    <w:name w:val="toc 2"/>
    <w:basedOn w:val="a"/>
    <w:next w:val="a"/>
    <w:autoRedefine/>
    <w:uiPriority w:val="39"/>
    <w:unhideWhenUsed/>
    <w:qFormat/>
    <w:rsid w:val="00DB06C2"/>
    <w:pPr>
      <w:tabs>
        <w:tab w:val="right" w:leader="dot" w:pos="9746"/>
      </w:tabs>
      <w:autoSpaceDE w:val="0"/>
      <w:autoSpaceDN w:val="0"/>
      <w:spacing w:line="360" w:lineRule="auto"/>
      <w:ind w:leftChars="300" w:left="1200" w:hangingChars="200" w:hanging="480"/>
    </w:pPr>
    <w:rPr>
      <w:rFonts w:eastAsia="標楷體" w:hAnsi="標楷體"/>
      <w:szCs w:val="24"/>
    </w:rPr>
  </w:style>
  <w:style w:type="paragraph" w:styleId="Web">
    <w:name w:val="Normal (Web)"/>
    <w:basedOn w:val="a"/>
    <w:uiPriority w:val="99"/>
    <w:unhideWhenUsed/>
    <w:rsid w:val="00D4736E"/>
    <w:pPr>
      <w:widowControl/>
      <w:spacing w:after="75"/>
    </w:pPr>
    <w:rPr>
      <w:rFonts w:ascii="新細明體" w:hAnsi="新細明體" w:cs="新細明體"/>
      <w:kern w:val="0"/>
      <w:szCs w:val="24"/>
    </w:rPr>
  </w:style>
  <w:style w:type="paragraph" w:styleId="a7">
    <w:name w:val="Body Text Indent"/>
    <w:basedOn w:val="a"/>
    <w:link w:val="a8"/>
    <w:unhideWhenUsed/>
    <w:rsid w:val="00D4736E"/>
    <w:pPr>
      <w:spacing w:after="120"/>
      <w:ind w:leftChars="200" w:left="480"/>
    </w:pPr>
    <w:rPr>
      <w:rFonts w:ascii="Calibri" w:hAnsi="Calibri"/>
      <w:szCs w:val="22"/>
    </w:rPr>
  </w:style>
  <w:style w:type="character" w:customStyle="1" w:styleId="a8">
    <w:name w:val="本文縮排 字元"/>
    <w:basedOn w:val="a0"/>
    <w:link w:val="a7"/>
    <w:rsid w:val="00D4736E"/>
    <w:rPr>
      <w:rFonts w:ascii="Calibri" w:eastAsia="新細明體" w:hAnsi="Calibri" w:cs="Times New Roman"/>
    </w:rPr>
  </w:style>
  <w:style w:type="paragraph" w:styleId="a9">
    <w:name w:val="Balloon Text"/>
    <w:basedOn w:val="a"/>
    <w:link w:val="aa"/>
    <w:uiPriority w:val="99"/>
    <w:semiHidden/>
    <w:unhideWhenUsed/>
    <w:rsid w:val="00454F2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54F29"/>
    <w:rPr>
      <w:rFonts w:asciiTheme="majorHAnsi" w:eastAsiaTheme="majorEastAsia" w:hAnsiTheme="majorHAnsi" w:cstheme="majorBidi"/>
      <w:sz w:val="18"/>
      <w:szCs w:val="18"/>
    </w:rPr>
  </w:style>
  <w:style w:type="paragraph" w:styleId="ab">
    <w:name w:val="List Paragraph"/>
    <w:basedOn w:val="a"/>
    <w:link w:val="ac"/>
    <w:uiPriority w:val="34"/>
    <w:qFormat/>
    <w:rsid w:val="00F6370A"/>
    <w:pPr>
      <w:ind w:leftChars="200" w:left="480"/>
    </w:pPr>
    <w:rPr>
      <w:rFonts w:ascii="Calibri" w:hAnsi="Calibri"/>
      <w:szCs w:val="22"/>
    </w:rPr>
  </w:style>
  <w:style w:type="character" w:customStyle="1" w:styleId="ac">
    <w:name w:val="清單段落 字元"/>
    <w:link w:val="ab"/>
    <w:uiPriority w:val="34"/>
    <w:locked/>
    <w:rsid w:val="00F6370A"/>
    <w:rPr>
      <w:rFonts w:ascii="Calibri" w:eastAsia="新細明體" w:hAnsi="Calibri" w:cs="Times New Roman"/>
    </w:rPr>
  </w:style>
  <w:style w:type="character" w:customStyle="1" w:styleId="10">
    <w:name w:val="標題 1 字元"/>
    <w:basedOn w:val="a0"/>
    <w:link w:val="1"/>
    <w:uiPriority w:val="9"/>
    <w:rsid w:val="000F6771"/>
    <w:rPr>
      <w:rFonts w:ascii="Calibri Light" w:eastAsia="標楷體" w:hAnsi="Calibri Light" w:cs="Times New Roman"/>
      <w:b/>
      <w:bCs/>
      <w:kern w:val="52"/>
      <w:sz w:val="32"/>
      <w:szCs w:val="52"/>
    </w:rPr>
  </w:style>
  <w:style w:type="character" w:customStyle="1" w:styleId="20">
    <w:name w:val="標題 2 字元"/>
    <w:basedOn w:val="a0"/>
    <w:link w:val="2"/>
    <w:uiPriority w:val="9"/>
    <w:rsid w:val="000F6771"/>
    <w:rPr>
      <w:rFonts w:ascii="Calibri Light" w:eastAsia="新細明體" w:hAnsi="Calibri Light" w:cs="Times New Roman"/>
      <w:b/>
      <w:bCs/>
      <w:sz w:val="48"/>
      <w:szCs w:val="48"/>
    </w:rPr>
  </w:style>
  <w:style w:type="paragraph" w:styleId="HTML">
    <w:name w:val="HTML Preformatted"/>
    <w:basedOn w:val="a"/>
    <w:link w:val="HTML0"/>
    <w:uiPriority w:val="99"/>
    <w:unhideWhenUsed/>
    <w:rsid w:val="00561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61DD5"/>
    <w:rPr>
      <w:rFonts w:ascii="細明體" w:eastAsia="細明體" w:hAnsi="細明體" w:cs="細明體"/>
      <w:kern w:val="0"/>
      <w:szCs w:val="24"/>
    </w:rPr>
  </w:style>
  <w:style w:type="paragraph" w:styleId="ad">
    <w:name w:val="No Spacing"/>
    <w:uiPriority w:val="1"/>
    <w:qFormat/>
    <w:rsid w:val="00A7371E"/>
    <w:pPr>
      <w:widowControl w:val="0"/>
    </w:pPr>
    <w:rPr>
      <w:rFonts w:ascii="Times New Roman" w:eastAsia="新細明體" w:hAnsi="Times New Roman" w:cs="Times New Roman"/>
      <w:szCs w:val="20"/>
    </w:rPr>
  </w:style>
  <w:style w:type="paragraph" w:customStyle="1" w:styleId="Default">
    <w:name w:val="Default"/>
    <w:rsid w:val="000B7E05"/>
    <w:pPr>
      <w:widowControl w:val="0"/>
      <w:autoSpaceDE w:val="0"/>
      <w:autoSpaceDN w:val="0"/>
      <w:adjustRightInd w:val="0"/>
    </w:pPr>
    <w:rPr>
      <w:rFonts w:ascii="標楷體" w:eastAsia="標楷體" w:cs="標楷體"/>
      <w:color w:val="000000"/>
      <w:kern w:val="0"/>
      <w:szCs w:val="24"/>
    </w:rPr>
  </w:style>
  <w:style w:type="character" w:styleId="ae">
    <w:name w:val="Emphasis"/>
    <w:basedOn w:val="a0"/>
    <w:uiPriority w:val="20"/>
    <w:qFormat/>
    <w:rsid w:val="000B7E05"/>
    <w:rPr>
      <w:i/>
      <w:iCs/>
    </w:rPr>
  </w:style>
  <w:style w:type="paragraph" w:customStyle="1" w:styleId="22">
    <w:name w:val="樣式2"/>
    <w:basedOn w:val="a"/>
    <w:rsid w:val="009F0113"/>
    <w:pPr>
      <w:adjustRightInd w:val="0"/>
      <w:spacing w:after="120" w:line="360" w:lineRule="atLeast"/>
    </w:pPr>
    <w:rPr>
      <w:rFonts w:ascii="標楷體" w:eastAsia="標楷體"/>
      <w:kern w:val="0"/>
      <w:sz w:val="36"/>
    </w:rPr>
  </w:style>
  <w:style w:type="table" w:styleId="af">
    <w:name w:val="Table Grid"/>
    <w:basedOn w:val="a1"/>
    <w:uiPriority w:val="39"/>
    <w:rsid w:val="00C1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290ABF"/>
    <w:pPr>
      <w:widowControl/>
      <w:spacing w:before="100" w:beforeAutospacing="1" w:after="100" w:afterAutospacing="1"/>
    </w:pPr>
    <w:rPr>
      <w:rFonts w:ascii="新細明體" w:hAnsi="新細明體"/>
      <w:kern w:val="0"/>
      <w:szCs w:val="24"/>
      <w:lang w:val="x-none" w:eastAsia="x-none"/>
    </w:rPr>
  </w:style>
  <w:style w:type="character" w:customStyle="1" w:styleId="af1">
    <w:name w:val="純文字 字元"/>
    <w:basedOn w:val="a0"/>
    <w:link w:val="af0"/>
    <w:rsid w:val="00290ABF"/>
    <w:rPr>
      <w:rFonts w:ascii="新細明體" w:eastAsia="新細明體" w:hAnsi="新細明體"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12A7A-941A-4BA0-95DE-4AF868F9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3</cp:revision>
  <cp:lastPrinted>2018-10-12T06:46:00Z</cp:lastPrinted>
  <dcterms:created xsi:type="dcterms:W3CDTF">2018-10-25T02:06:00Z</dcterms:created>
  <dcterms:modified xsi:type="dcterms:W3CDTF">2018-10-25T02:52:00Z</dcterms:modified>
</cp:coreProperties>
</file>