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8A" w:rsidRPr="00EA3C1A" w:rsidRDefault="00717B8A" w:rsidP="00717B8A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2"/>
          <w:szCs w:val="32"/>
        </w:rPr>
      </w:pPr>
      <w:r w:rsidRPr="00EA3C1A">
        <w:rPr>
          <w:rFonts w:eastAsia="標楷體"/>
          <w:b/>
          <w:kern w:val="0"/>
          <w:sz w:val="32"/>
          <w:szCs w:val="32"/>
        </w:rPr>
        <w:t>南臺科技大學延攬特殊優秀人才作業要點</w:t>
      </w:r>
    </w:p>
    <w:p w:rsidR="00717B8A" w:rsidRPr="00EA3C1A" w:rsidRDefault="00717B8A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102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 w:rsidRPr="00EA3C1A">
        <w:rPr>
          <w:rFonts w:eastAsia="標楷體"/>
          <w:color w:val="000000"/>
          <w:kern w:val="0"/>
          <w:sz w:val="20"/>
          <w:szCs w:val="20"/>
        </w:rPr>
        <w:t>9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 w:rsidRPr="00EA3C1A">
        <w:rPr>
          <w:rFonts w:eastAsia="標楷體"/>
          <w:color w:val="000000"/>
          <w:kern w:val="0"/>
          <w:sz w:val="20"/>
          <w:szCs w:val="20"/>
        </w:rPr>
        <w:t>23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日行政會議通過</w:t>
      </w:r>
    </w:p>
    <w:p w:rsidR="00717B8A" w:rsidRDefault="00717B8A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103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 w:rsidR="00C81713">
        <w:rPr>
          <w:rFonts w:eastAsia="標楷體" w:hint="eastAsia"/>
          <w:color w:val="000000"/>
          <w:kern w:val="0"/>
          <w:sz w:val="20"/>
          <w:szCs w:val="20"/>
        </w:rPr>
        <w:t>11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 w:rsidR="00C81713">
        <w:rPr>
          <w:rFonts w:eastAsia="標楷體" w:hint="eastAsia"/>
          <w:color w:val="000000"/>
          <w:kern w:val="0"/>
          <w:sz w:val="20"/>
          <w:szCs w:val="20"/>
        </w:rPr>
        <w:t>17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日行政會議修正通過</w:t>
      </w:r>
    </w:p>
    <w:p w:rsidR="003635BF" w:rsidRDefault="003635BF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</w:t>
      </w:r>
      <w:r>
        <w:rPr>
          <w:rFonts w:eastAsia="標楷體" w:hint="eastAsia"/>
          <w:color w:val="000000"/>
          <w:kern w:val="0"/>
          <w:sz w:val="20"/>
          <w:szCs w:val="20"/>
        </w:rPr>
        <w:t>4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>
        <w:rPr>
          <w:rFonts w:eastAsia="標楷體" w:hint="eastAsia"/>
          <w:color w:val="000000"/>
          <w:kern w:val="0"/>
          <w:sz w:val="20"/>
          <w:szCs w:val="20"/>
        </w:rPr>
        <w:t>11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>
        <w:rPr>
          <w:rFonts w:eastAsia="標楷體" w:hint="eastAsia"/>
          <w:color w:val="000000"/>
          <w:kern w:val="0"/>
          <w:sz w:val="20"/>
          <w:szCs w:val="20"/>
        </w:rPr>
        <w:t>02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日行政會議修正通過</w:t>
      </w:r>
    </w:p>
    <w:p w:rsidR="004E6F58" w:rsidRDefault="004E6F58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</w:t>
      </w:r>
      <w:r>
        <w:rPr>
          <w:rFonts w:eastAsia="標楷體" w:hint="eastAsia"/>
          <w:color w:val="000000"/>
          <w:kern w:val="0"/>
          <w:sz w:val="20"/>
          <w:szCs w:val="20"/>
        </w:rPr>
        <w:t>5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 w:rsidR="00DF69C2">
        <w:rPr>
          <w:rFonts w:eastAsia="標楷體" w:hint="eastAsia"/>
          <w:color w:val="000000"/>
          <w:kern w:val="0"/>
          <w:sz w:val="20"/>
          <w:szCs w:val="20"/>
        </w:rPr>
        <w:t>09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 w:rsidR="00DF69C2">
        <w:rPr>
          <w:rFonts w:eastAsia="標楷體" w:hint="eastAsia"/>
          <w:color w:val="000000"/>
          <w:kern w:val="0"/>
          <w:sz w:val="20"/>
          <w:szCs w:val="20"/>
        </w:rPr>
        <w:t>26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日行政會議修正通過</w:t>
      </w:r>
    </w:p>
    <w:p w:rsidR="00D34553" w:rsidRPr="00D34553" w:rsidRDefault="00D34553" w:rsidP="00717B8A">
      <w:pPr>
        <w:autoSpaceDE w:val="0"/>
        <w:autoSpaceDN w:val="0"/>
        <w:adjustRightInd w:val="0"/>
        <w:ind w:left="420"/>
        <w:jc w:val="right"/>
        <w:rPr>
          <w:rFonts w:eastAsia="標楷體" w:hint="eastAsia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</w:t>
      </w:r>
      <w:r>
        <w:rPr>
          <w:rFonts w:eastAsia="標楷體" w:hint="eastAsia"/>
          <w:color w:val="000000"/>
          <w:kern w:val="0"/>
          <w:sz w:val="20"/>
          <w:szCs w:val="20"/>
        </w:rPr>
        <w:t>7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>
        <w:rPr>
          <w:rFonts w:eastAsia="標楷體" w:hint="eastAsia"/>
          <w:color w:val="000000"/>
          <w:kern w:val="0"/>
          <w:sz w:val="20"/>
          <w:szCs w:val="20"/>
        </w:rPr>
        <w:t>09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>
        <w:rPr>
          <w:rFonts w:eastAsia="標楷體" w:hint="eastAsia"/>
          <w:color w:val="000000"/>
          <w:kern w:val="0"/>
          <w:sz w:val="20"/>
          <w:szCs w:val="20"/>
        </w:rPr>
        <w:t>10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日行政會議修正通過</w:t>
      </w:r>
    </w:p>
    <w:p w:rsidR="00717B8A" w:rsidRPr="00950AB5" w:rsidRDefault="00717B8A" w:rsidP="006371D1">
      <w:pPr>
        <w:autoSpaceDE w:val="0"/>
        <w:autoSpaceDN w:val="0"/>
        <w:adjustRightInd w:val="0"/>
        <w:spacing w:before="120"/>
        <w:ind w:left="437" w:hanging="437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一、南臺科技大學</w:t>
      </w: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以下簡稱本校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為延攬國際聲望或學術專業成就卓著之人才來校服務，以提升本校學術競爭力，特依「科技部補助大專校院延攬特殊優秀人才措施」訂定本要點。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476" w:hanging="476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二、經費來源：申請科技部補助大專校院延攬特殊優秀人才措施補助專款，每年獎勵經費視該部補助額度及實際申請審核情形，若未獲科技部補助，本延攬補助即停止發放。</w:t>
      </w:r>
    </w:p>
    <w:p w:rsidR="00717B8A" w:rsidRPr="00950AB5" w:rsidRDefault="00717B8A" w:rsidP="006371D1">
      <w:pPr>
        <w:autoSpaceDE w:val="0"/>
        <w:autoSpaceDN w:val="0"/>
        <w:adjustRightInd w:val="0"/>
        <w:spacing w:before="180"/>
        <w:ind w:left="566" w:hangingChars="236" w:hanging="566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三、受延攬對象</w:t>
      </w:r>
      <w:r w:rsidRPr="00950AB5">
        <w:rPr>
          <w:rFonts w:eastAsia="標楷體" w:hint="eastAsia"/>
          <w:color w:val="000000" w:themeColor="text1"/>
          <w:kern w:val="0"/>
        </w:rPr>
        <w:t>應</w:t>
      </w:r>
      <w:r w:rsidRPr="00950AB5">
        <w:rPr>
          <w:rFonts w:eastAsia="標楷體"/>
          <w:color w:val="000000" w:themeColor="text1"/>
          <w:kern w:val="0"/>
        </w:rPr>
        <w:t>具博士學位</w:t>
      </w:r>
      <w:r w:rsidRPr="00950AB5">
        <w:rPr>
          <w:rFonts w:eastAsia="標楷體" w:hint="eastAsia"/>
          <w:color w:val="000000" w:themeColor="text1"/>
          <w:kern w:val="0"/>
        </w:rPr>
        <w:t>且</w:t>
      </w:r>
      <w:r w:rsidRPr="00950AB5">
        <w:rPr>
          <w:rFonts w:eastAsia="標楷體"/>
          <w:color w:val="000000" w:themeColor="text1"/>
          <w:kern w:val="0"/>
        </w:rPr>
        <w:t>於正式納編時年齡為五十五歲以下，並符合下列資格之一：</w:t>
      </w:r>
      <w:r w:rsidRPr="00950AB5">
        <w:rPr>
          <w:rFonts w:eastAsia="標楷體"/>
          <w:color w:val="000000" w:themeColor="text1"/>
          <w:kern w:val="0"/>
        </w:rPr>
        <w:t xml:space="preserve"> </w:t>
      </w:r>
    </w:p>
    <w:p w:rsidR="00717B8A" w:rsidRPr="00950AB5" w:rsidRDefault="00717B8A" w:rsidP="00717B8A">
      <w:pPr>
        <w:autoSpaceDE w:val="0"/>
        <w:autoSpaceDN w:val="0"/>
        <w:adjustRightInd w:val="0"/>
        <w:ind w:left="980" w:hanging="462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一</w:t>
      </w:r>
      <w:r w:rsidRPr="00950AB5">
        <w:rPr>
          <w:rFonts w:eastAsia="標楷體"/>
          <w:color w:val="000000" w:themeColor="text1"/>
          <w:kern w:val="0"/>
        </w:rPr>
        <w:t>)</w:t>
      </w:r>
      <w:r w:rsidR="000D2BD8" w:rsidRPr="00950AB5">
        <w:rPr>
          <w:rFonts w:eastAsia="標楷體"/>
          <w:color w:val="000000" w:themeColor="text1"/>
          <w:kern w:val="0"/>
        </w:rPr>
        <w:t>非曾任或非現任國內學術研究機構編制內之專任教學、研究人員，績效卓著</w:t>
      </w:r>
      <w:r w:rsidR="000D2BD8" w:rsidRPr="00950AB5">
        <w:rPr>
          <w:rFonts w:eastAsia="標楷體" w:hint="eastAsia"/>
          <w:color w:val="000000" w:themeColor="text1"/>
          <w:kern w:val="0"/>
        </w:rPr>
        <w:t>者</w:t>
      </w:r>
      <w:r w:rsidR="000D2BD8" w:rsidRPr="00950AB5">
        <w:rPr>
          <w:rFonts w:eastAsia="標楷體"/>
          <w:color w:val="000000" w:themeColor="text1"/>
          <w:kern w:val="0"/>
        </w:rPr>
        <w:t>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二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於申請日前五年間均任職於國外學術研究機構。</w:t>
      </w:r>
    </w:p>
    <w:p w:rsidR="00717B8A" w:rsidRPr="00950AB5" w:rsidRDefault="00717B8A" w:rsidP="00DF69C2">
      <w:pPr>
        <w:pStyle w:val="Default"/>
        <w:spacing w:beforeLines="50" w:before="180"/>
        <w:rPr>
          <w:rFonts w:ascii="Times New Roman" w:cs="Times New Roman"/>
          <w:color w:val="000000" w:themeColor="text1"/>
          <w:sz w:val="23"/>
          <w:szCs w:val="23"/>
        </w:rPr>
      </w:pPr>
      <w:r w:rsidRPr="00950AB5">
        <w:rPr>
          <w:rFonts w:ascii="Times New Roman" w:cs="Times New Roman"/>
          <w:color w:val="000000" w:themeColor="text1"/>
          <w:sz w:val="23"/>
          <w:szCs w:val="23"/>
        </w:rPr>
        <w:t>四、受延攬人聘任程序應依本校教師聘任暨升等評審辦法辦理。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580" w:hanging="580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五、獎勵額度：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一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教授：每月獎勵金額為新臺幣二萬五千元。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二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副教授：每月獎勵金額為新臺幣二萬元。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三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助理教授：每月獎勵金額為新臺幣一萬五千元。</w:t>
      </w:r>
    </w:p>
    <w:p w:rsidR="00717B8A" w:rsidRPr="00950AB5" w:rsidRDefault="00717B8A" w:rsidP="00DF69C2">
      <w:pPr>
        <w:autoSpaceDE w:val="0"/>
        <w:autoSpaceDN w:val="0"/>
        <w:adjustRightInd w:val="0"/>
        <w:snapToGrid w:val="0"/>
        <w:spacing w:beforeLines="50" w:before="180"/>
        <w:ind w:left="545" w:hangingChars="227" w:hanging="545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六、獎勵期限：自每年</w:t>
      </w:r>
      <w:r w:rsidRPr="00950AB5">
        <w:rPr>
          <w:rFonts w:eastAsia="標楷體"/>
          <w:color w:val="000000" w:themeColor="text1"/>
          <w:kern w:val="0"/>
        </w:rPr>
        <w:t>1</w:t>
      </w:r>
      <w:r w:rsidRPr="00950AB5">
        <w:rPr>
          <w:rFonts w:eastAsia="標楷體"/>
          <w:color w:val="000000" w:themeColor="text1"/>
          <w:kern w:val="0"/>
        </w:rPr>
        <w:t>月</w:t>
      </w:r>
      <w:r w:rsidRPr="00950AB5">
        <w:rPr>
          <w:rFonts w:eastAsia="標楷體"/>
          <w:color w:val="000000" w:themeColor="text1"/>
          <w:kern w:val="0"/>
        </w:rPr>
        <w:t>1</w:t>
      </w:r>
      <w:r w:rsidRPr="00950AB5">
        <w:rPr>
          <w:rFonts w:eastAsia="標楷體"/>
          <w:color w:val="000000" w:themeColor="text1"/>
          <w:kern w:val="0"/>
        </w:rPr>
        <w:t>日起至同年</w:t>
      </w:r>
      <w:r w:rsidRPr="00950AB5">
        <w:rPr>
          <w:rFonts w:eastAsia="標楷體"/>
          <w:color w:val="000000" w:themeColor="text1"/>
          <w:kern w:val="0"/>
        </w:rPr>
        <w:t>12</w:t>
      </w:r>
      <w:r w:rsidRPr="00950AB5">
        <w:rPr>
          <w:rFonts w:eastAsia="標楷體"/>
          <w:color w:val="000000" w:themeColor="text1"/>
          <w:kern w:val="0"/>
        </w:rPr>
        <w:t>月</w:t>
      </w:r>
      <w:r w:rsidRPr="00950AB5">
        <w:rPr>
          <w:rFonts w:eastAsia="標楷體"/>
          <w:color w:val="000000" w:themeColor="text1"/>
          <w:kern w:val="0"/>
        </w:rPr>
        <w:t>31</w:t>
      </w:r>
      <w:r w:rsidRPr="00950AB5">
        <w:rPr>
          <w:rFonts w:eastAsia="標楷體"/>
          <w:color w:val="000000" w:themeColor="text1"/>
          <w:kern w:val="0"/>
        </w:rPr>
        <w:t>日止，以</w:t>
      </w:r>
      <w:r w:rsidRPr="00950AB5">
        <w:rPr>
          <w:rFonts w:eastAsia="標楷體"/>
          <w:color w:val="000000" w:themeColor="text1"/>
          <w:kern w:val="0"/>
        </w:rPr>
        <w:t>1</w:t>
      </w:r>
      <w:r w:rsidRPr="00950AB5">
        <w:rPr>
          <w:rFonts w:eastAsia="標楷體"/>
          <w:color w:val="000000" w:themeColor="text1"/>
          <w:kern w:val="0"/>
        </w:rPr>
        <w:t>年為一期。但實際以受延攬人到職日起至同年</w:t>
      </w:r>
      <w:r w:rsidRPr="00950AB5">
        <w:rPr>
          <w:rFonts w:eastAsia="標楷體"/>
          <w:color w:val="000000" w:themeColor="text1"/>
          <w:kern w:val="0"/>
        </w:rPr>
        <w:t>12</w:t>
      </w:r>
      <w:r w:rsidRPr="00950AB5">
        <w:rPr>
          <w:rFonts w:eastAsia="標楷體"/>
          <w:color w:val="000000" w:themeColor="text1"/>
          <w:kern w:val="0"/>
        </w:rPr>
        <w:t>月</w:t>
      </w:r>
      <w:r w:rsidRPr="00950AB5">
        <w:rPr>
          <w:rFonts w:eastAsia="標楷體"/>
          <w:color w:val="000000" w:themeColor="text1"/>
          <w:kern w:val="0"/>
        </w:rPr>
        <w:t>31</w:t>
      </w:r>
      <w:r w:rsidRPr="00950AB5">
        <w:rPr>
          <w:rFonts w:eastAsia="標楷體"/>
          <w:color w:val="000000" w:themeColor="text1"/>
          <w:kern w:val="0"/>
        </w:rPr>
        <w:t>日止。期滿得申請繼續補助，總獎勵期間最長為</w:t>
      </w:r>
      <w:r w:rsidRPr="00950AB5">
        <w:rPr>
          <w:rFonts w:eastAsia="標楷體"/>
          <w:color w:val="000000" w:themeColor="text1"/>
          <w:kern w:val="0"/>
        </w:rPr>
        <w:t>3</w:t>
      </w:r>
      <w:r w:rsidRPr="00950AB5">
        <w:rPr>
          <w:rFonts w:eastAsia="標楷體"/>
          <w:color w:val="000000" w:themeColor="text1"/>
          <w:kern w:val="0"/>
        </w:rPr>
        <w:t>年，且不得中斷聘期。</w:t>
      </w:r>
    </w:p>
    <w:p w:rsidR="00717B8A" w:rsidRPr="00950AB5" w:rsidRDefault="00717B8A" w:rsidP="00DF69C2">
      <w:pPr>
        <w:autoSpaceDE w:val="0"/>
        <w:autoSpaceDN w:val="0"/>
        <w:adjustRightInd w:val="0"/>
        <w:snapToGrid w:val="0"/>
        <w:spacing w:beforeLines="50" w:before="180"/>
        <w:ind w:left="504" w:hangingChars="210" w:hanging="504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  <w:kern w:val="0"/>
        </w:rPr>
        <w:t>七、本校成立「延攬特殊優秀人才審查委員會」（以下簡稱委員會），負責延攬特殊優秀人才複審與績效管考。委員</w:t>
      </w:r>
      <w:r w:rsidRPr="00DF69C2">
        <w:rPr>
          <w:rFonts w:eastAsia="標楷體"/>
          <w:color w:val="000000" w:themeColor="text1"/>
          <w:kern w:val="0"/>
        </w:rPr>
        <w:t>會由副校長</w:t>
      </w:r>
      <w:r w:rsidR="00DF69C2" w:rsidRPr="00DF69C2">
        <w:rPr>
          <w:rFonts w:eastAsia="標楷體" w:hint="eastAsia"/>
          <w:color w:val="000000" w:themeColor="text1"/>
          <w:kern w:val="0"/>
        </w:rPr>
        <w:t>、</w:t>
      </w:r>
      <w:r w:rsidRPr="00DF69C2">
        <w:rPr>
          <w:rFonts w:eastAsia="標楷體"/>
          <w:color w:val="000000" w:themeColor="text1"/>
          <w:kern w:val="0"/>
        </w:rPr>
        <w:t>各院院</w:t>
      </w:r>
      <w:bookmarkStart w:id="0" w:name="_GoBack"/>
      <w:bookmarkEnd w:id="0"/>
      <w:r w:rsidRPr="00DF69C2">
        <w:rPr>
          <w:rFonts w:eastAsia="標楷體"/>
          <w:color w:val="000000" w:themeColor="text1"/>
          <w:kern w:val="0"/>
        </w:rPr>
        <w:t>長、通識中心主任、</w:t>
      </w:r>
      <w:r w:rsidR="005531D1" w:rsidRPr="00DF69C2">
        <w:rPr>
          <w:rFonts w:eastAsia="標楷體"/>
          <w:color w:val="000000" w:themeColor="text1"/>
        </w:rPr>
        <w:t>研究發展</w:t>
      </w:r>
      <w:r w:rsidR="005531D1" w:rsidRPr="00DF69C2">
        <w:rPr>
          <w:rFonts w:eastAsia="標楷體" w:hint="eastAsia"/>
          <w:color w:val="000000" w:themeColor="text1"/>
          <w:kern w:val="0"/>
        </w:rPr>
        <w:t>暨產學合作</w:t>
      </w:r>
      <w:r w:rsidR="005531D1" w:rsidRPr="00DF69C2">
        <w:rPr>
          <w:rFonts w:eastAsia="標楷體"/>
          <w:color w:val="000000" w:themeColor="text1"/>
        </w:rPr>
        <w:t>處</w:t>
      </w:r>
      <w:r w:rsidR="005531D1" w:rsidRPr="00DF69C2">
        <w:rPr>
          <w:rFonts w:eastAsia="標楷體" w:hint="eastAsia"/>
          <w:color w:val="000000" w:themeColor="text1"/>
          <w:kern w:val="0"/>
        </w:rPr>
        <w:t>處</w:t>
      </w:r>
      <w:r w:rsidRPr="00DF69C2">
        <w:rPr>
          <w:rFonts w:eastAsia="標楷體"/>
          <w:color w:val="000000" w:themeColor="text1"/>
          <w:kern w:val="0"/>
        </w:rPr>
        <w:t>長、人事室主任、會計室主任組成</w:t>
      </w:r>
      <w:r w:rsidRPr="00950AB5">
        <w:rPr>
          <w:rFonts w:eastAsia="標楷體"/>
          <w:color w:val="000000" w:themeColor="text1"/>
          <w:kern w:val="0"/>
        </w:rPr>
        <w:t>。</w:t>
      </w:r>
    </w:p>
    <w:p w:rsidR="00717B8A" w:rsidRPr="00950AB5" w:rsidRDefault="00717B8A" w:rsidP="00DF69C2">
      <w:pPr>
        <w:spacing w:beforeLines="50" w:before="180"/>
        <w:ind w:left="851" w:rightChars="58" w:right="139" w:hanging="851"/>
        <w:jc w:val="both"/>
        <w:outlineLvl w:val="0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八、審核程序：</w:t>
      </w:r>
    </w:p>
    <w:p w:rsidR="00717B8A" w:rsidRPr="00950AB5" w:rsidRDefault="00717B8A" w:rsidP="00717B8A">
      <w:pPr>
        <w:ind w:leftChars="232" w:left="557"/>
        <w:jc w:val="both"/>
        <w:outlineLvl w:val="0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新聘教師檢附申請書及近五年內相關研究績效，由系所主管及院</w:t>
      </w:r>
      <w:r w:rsidRPr="00950AB5">
        <w:rPr>
          <w:rFonts w:eastAsia="標楷體"/>
          <w:color w:val="000000" w:themeColor="text1"/>
        </w:rPr>
        <w:t>/</w:t>
      </w:r>
      <w:r w:rsidRPr="00950AB5">
        <w:rPr>
          <w:rFonts w:eastAsia="標楷體"/>
          <w:color w:val="000000" w:themeColor="text1"/>
        </w:rPr>
        <w:t>中心主管初審並簽註意見，初審通過者再送</w:t>
      </w:r>
      <w:r w:rsidRPr="00950AB5">
        <w:rPr>
          <w:rFonts w:eastAsia="標楷體"/>
          <w:color w:val="000000" w:themeColor="text1"/>
          <w:kern w:val="0"/>
        </w:rPr>
        <w:t>委員會</w:t>
      </w:r>
      <w:r w:rsidRPr="00950AB5">
        <w:rPr>
          <w:rFonts w:eastAsia="標楷體"/>
          <w:color w:val="000000" w:themeColor="text1"/>
        </w:rPr>
        <w:t>複審，簽</w:t>
      </w:r>
      <w:r w:rsidRPr="00950AB5">
        <w:rPr>
          <w:rFonts w:eastAsia="標楷體"/>
          <w:color w:val="000000" w:themeColor="text1"/>
          <w:kern w:val="0"/>
        </w:rPr>
        <w:t>請校長核定後</w:t>
      </w:r>
      <w:r w:rsidRPr="00950AB5">
        <w:rPr>
          <w:rFonts w:eastAsia="標楷體"/>
          <w:color w:val="000000" w:themeColor="text1"/>
        </w:rPr>
        <w:t>轉送人事室併薪發放</w:t>
      </w:r>
      <w:r w:rsidRPr="00950AB5">
        <w:rPr>
          <w:rFonts w:eastAsia="標楷體"/>
          <w:color w:val="000000" w:themeColor="text1"/>
          <w:kern w:val="0"/>
        </w:rPr>
        <w:t>。</w:t>
      </w:r>
    </w:p>
    <w:p w:rsidR="00717B8A" w:rsidRPr="00950AB5" w:rsidRDefault="00717B8A" w:rsidP="00717B8A">
      <w:pPr>
        <w:autoSpaceDE w:val="0"/>
        <w:autoSpaceDN w:val="0"/>
        <w:adjustRightInd w:val="0"/>
        <w:ind w:leftChars="227" w:left="545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各院申請案配合聘期作業，於每年二月及八月以前</w:t>
      </w:r>
      <w:r w:rsidRPr="00950AB5">
        <w:rPr>
          <w:rFonts w:eastAsia="標楷體"/>
          <w:color w:val="000000" w:themeColor="text1"/>
        </w:rPr>
        <w:t>送</w:t>
      </w:r>
      <w:r w:rsidRPr="00DF69C2">
        <w:rPr>
          <w:rFonts w:eastAsia="標楷體"/>
          <w:color w:val="000000" w:themeColor="text1"/>
        </w:rPr>
        <w:t>研究發展</w:t>
      </w:r>
      <w:r w:rsidR="005D4A21" w:rsidRPr="00DF69C2">
        <w:rPr>
          <w:rFonts w:eastAsia="標楷體" w:hint="eastAsia"/>
          <w:color w:val="000000" w:themeColor="text1"/>
          <w:kern w:val="0"/>
        </w:rPr>
        <w:t>暨產學合作</w:t>
      </w:r>
      <w:r w:rsidRPr="00DF69C2">
        <w:rPr>
          <w:rFonts w:eastAsia="標楷體"/>
          <w:color w:val="000000" w:themeColor="text1"/>
        </w:rPr>
        <w:t>處</w:t>
      </w:r>
      <w:r w:rsidRPr="00950AB5">
        <w:rPr>
          <w:rFonts w:eastAsia="標楷體"/>
          <w:color w:val="000000" w:themeColor="text1"/>
        </w:rPr>
        <w:t>提送</w:t>
      </w:r>
      <w:r w:rsidRPr="00950AB5">
        <w:rPr>
          <w:rFonts w:eastAsia="標楷體"/>
          <w:color w:val="000000" w:themeColor="text1"/>
          <w:kern w:val="0"/>
        </w:rPr>
        <w:t>委員會辦理複審。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504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九、申請單位應確實查核受延攬人所提各項申請與證明文件，如有隱匿或查核不實情形，經查證屬實，得於一定期間內停止受理該項申請。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426" w:hanging="426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十、本校對獲得本要點獎勵之教師，依本校相關規定提供必要之協助，參考項目如下</w:t>
      </w:r>
      <w:r w:rsidRPr="00950AB5">
        <w:rPr>
          <w:rFonts w:eastAsia="標楷體"/>
          <w:color w:val="000000" w:themeColor="text1"/>
          <w:kern w:val="0"/>
        </w:rPr>
        <w:t>:</w:t>
      </w:r>
    </w:p>
    <w:p w:rsidR="00717B8A" w:rsidRPr="00950AB5" w:rsidRDefault="00717B8A" w:rsidP="00717B8A">
      <w:pPr>
        <w:autoSpaceDE w:val="0"/>
        <w:autoSpaceDN w:val="0"/>
        <w:adjustRightInd w:val="0"/>
        <w:ind w:left="938" w:hanging="420"/>
        <w:jc w:val="both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(</w:t>
      </w:r>
      <w:r w:rsidRPr="00950AB5">
        <w:rPr>
          <w:rFonts w:eastAsia="標楷體"/>
          <w:color w:val="000000" w:themeColor="text1"/>
        </w:rPr>
        <w:t>一</w:t>
      </w:r>
      <w:r w:rsidRPr="00950AB5">
        <w:rPr>
          <w:rFonts w:eastAsia="標楷體"/>
          <w:color w:val="000000" w:themeColor="text1"/>
        </w:rPr>
        <w:t>)</w:t>
      </w:r>
      <w:r w:rsidRPr="00950AB5">
        <w:rPr>
          <w:rFonts w:eastAsia="標楷體"/>
          <w:color w:val="000000" w:themeColor="text1"/>
        </w:rPr>
        <w:t>教學支援方面得提供彈性開課、抵免教學時數、優先配置教學助理等措施，以減輕教師教學負擔。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(</w:t>
      </w:r>
      <w:r w:rsidRPr="00950AB5">
        <w:rPr>
          <w:rFonts w:eastAsia="標楷體"/>
          <w:color w:val="000000" w:themeColor="text1"/>
        </w:rPr>
        <w:t>二</w:t>
      </w:r>
      <w:r w:rsidRPr="00950AB5">
        <w:rPr>
          <w:rFonts w:eastAsia="標楷體"/>
          <w:color w:val="000000" w:themeColor="text1"/>
        </w:rPr>
        <w:t>)</w:t>
      </w:r>
      <w:r w:rsidRPr="00950AB5">
        <w:rPr>
          <w:rFonts w:eastAsia="標楷體"/>
          <w:color w:val="000000" w:themeColor="text1"/>
        </w:rPr>
        <w:t>研究支援方面得整合本校研發團隊、設備資源協助教師拓展研究量能。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(</w:t>
      </w:r>
      <w:r w:rsidRPr="00950AB5">
        <w:rPr>
          <w:rFonts w:eastAsia="標楷體"/>
          <w:color w:val="000000" w:themeColor="text1"/>
        </w:rPr>
        <w:t>三</w:t>
      </w:r>
      <w:r w:rsidRPr="00950AB5">
        <w:rPr>
          <w:rFonts w:eastAsia="標楷體"/>
          <w:color w:val="000000" w:themeColor="text1"/>
        </w:rPr>
        <w:t>)</w:t>
      </w:r>
      <w:r w:rsidRPr="00950AB5">
        <w:rPr>
          <w:rFonts w:eastAsia="標楷體"/>
          <w:color w:val="000000" w:themeColor="text1"/>
        </w:rPr>
        <w:t>行政支援方面得提供專業人員，協助教師進行產學合作、產品商品化及技術移轉等工作。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709" w:hanging="709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lastRenderedPageBreak/>
        <w:t>十一、定期考評：受獎勵人員於每年十一月十五日前送繳績效報告，經委員會審核，由本校彙總函送科技部，並列為後續獎勵之依據。</w:t>
      </w:r>
      <w:r w:rsidRPr="00950AB5">
        <w:rPr>
          <w:rFonts w:eastAsia="標楷體"/>
          <w:color w:val="000000" w:themeColor="text1"/>
          <w:kern w:val="0"/>
        </w:rPr>
        <w:t xml:space="preserve"> 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709" w:hanging="709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十二、依「科技部補助大專校院延攬特殊優秀人才措施」獲核定獎勵之受延攬人，不得同時申請該</w:t>
      </w:r>
      <w:r w:rsidR="00982473" w:rsidRPr="005531D1">
        <w:rPr>
          <w:rFonts w:eastAsia="標楷體" w:hint="eastAsia"/>
          <w:color w:val="000000" w:themeColor="text1"/>
          <w:kern w:val="0"/>
        </w:rPr>
        <w:t>部</w:t>
      </w:r>
      <w:r w:rsidRPr="00950AB5">
        <w:rPr>
          <w:rFonts w:eastAsia="標楷體"/>
          <w:color w:val="000000" w:themeColor="text1"/>
          <w:kern w:val="0"/>
        </w:rPr>
        <w:t>「補助大專校院獎勵特殊優秀人才措施案」。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709" w:hanging="709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十三、受獎勵人在獎勵期間內有離職、留職停薪、借調至他單位任職或不予聘任等情形，該項獎勵經費應按其未在職期間比例繳回。</w:t>
      </w:r>
    </w:p>
    <w:p w:rsidR="00717B8A" w:rsidRPr="00950AB5" w:rsidRDefault="00717B8A" w:rsidP="00DF69C2">
      <w:pPr>
        <w:spacing w:beforeLines="50" w:before="180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  <w:kern w:val="0"/>
        </w:rPr>
        <w:t>十四、本要點經行政會議通過，陳請校長核定後公布施行，修正時亦同。</w:t>
      </w:r>
    </w:p>
    <w:p w:rsidR="000E571B" w:rsidRPr="00717B8A" w:rsidRDefault="000E571B"/>
    <w:sectPr w:rsidR="000E571B" w:rsidRPr="00717B8A" w:rsidSect="006371D1">
      <w:footerReference w:type="default" r:id="rId6"/>
      <w:pgSz w:w="11906" w:h="16838"/>
      <w:pgMar w:top="851" w:right="851" w:bottom="851" w:left="851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89" w:rsidRDefault="00756A89" w:rsidP="00BE53E2">
      <w:r>
        <w:separator/>
      </w:r>
    </w:p>
  </w:endnote>
  <w:endnote w:type="continuationSeparator" w:id="0">
    <w:p w:rsidR="00756A89" w:rsidRDefault="00756A89" w:rsidP="00BE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942" w:rsidRDefault="00A509A5">
    <w:pPr>
      <w:pStyle w:val="a3"/>
      <w:jc w:val="center"/>
    </w:pPr>
    <w:r>
      <w:fldChar w:fldCharType="begin"/>
    </w:r>
    <w:r w:rsidR="00717B8A">
      <w:instrText>PAGE   \* MERGEFORMAT</w:instrText>
    </w:r>
    <w:r>
      <w:fldChar w:fldCharType="separate"/>
    </w:r>
    <w:r w:rsidR="00D34553" w:rsidRPr="00D34553">
      <w:rPr>
        <w:noProof/>
        <w:lang w:val="zh-TW"/>
      </w:rPr>
      <w:t>4</w:t>
    </w:r>
    <w:r>
      <w:fldChar w:fldCharType="end"/>
    </w:r>
  </w:p>
  <w:p w:rsidR="00160942" w:rsidRDefault="00756A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89" w:rsidRDefault="00756A89" w:rsidP="00BE53E2">
      <w:r>
        <w:separator/>
      </w:r>
    </w:p>
  </w:footnote>
  <w:footnote w:type="continuationSeparator" w:id="0">
    <w:p w:rsidR="00756A89" w:rsidRDefault="00756A89" w:rsidP="00BE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B8A"/>
    <w:rsid w:val="00007324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526D"/>
    <w:rsid w:val="00045AD4"/>
    <w:rsid w:val="00046E3E"/>
    <w:rsid w:val="000547C4"/>
    <w:rsid w:val="00057CE2"/>
    <w:rsid w:val="00062307"/>
    <w:rsid w:val="0007391D"/>
    <w:rsid w:val="00073F3F"/>
    <w:rsid w:val="000770EF"/>
    <w:rsid w:val="000803E3"/>
    <w:rsid w:val="00082580"/>
    <w:rsid w:val="00083CA0"/>
    <w:rsid w:val="00096072"/>
    <w:rsid w:val="00097A75"/>
    <w:rsid w:val="000A0EBE"/>
    <w:rsid w:val="000A2A8F"/>
    <w:rsid w:val="000A62E8"/>
    <w:rsid w:val="000B0221"/>
    <w:rsid w:val="000B3CF8"/>
    <w:rsid w:val="000B42DA"/>
    <w:rsid w:val="000B605C"/>
    <w:rsid w:val="000B79FD"/>
    <w:rsid w:val="000C0535"/>
    <w:rsid w:val="000C370E"/>
    <w:rsid w:val="000C4CFE"/>
    <w:rsid w:val="000C6D32"/>
    <w:rsid w:val="000D2BD8"/>
    <w:rsid w:val="000D5697"/>
    <w:rsid w:val="000E26D8"/>
    <w:rsid w:val="000E571B"/>
    <w:rsid w:val="000E6D7C"/>
    <w:rsid w:val="000F3240"/>
    <w:rsid w:val="001011A4"/>
    <w:rsid w:val="001018D2"/>
    <w:rsid w:val="001043D2"/>
    <w:rsid w:val="00107879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A9D"/>
    <w:rsid w:val="00155512"/>
    <w:rsid w:val="00160542"/>
    <w:rsid w:val="00160D88"/>
    <w:rsid w:val="00161DF5"/>
    <w:rsid w:val="0016571C"/>
    <w:rsid w:val="001816D0"/>
    <w:rsid w:val="00185350"/>
    <w:rsid w:val="00190E32"/>
    <w:rsid w:val="00192EAA"/>
    <w:rsid w:val="00193A57"/>
    <w:rsid w:val="0019717D"/>
    <w:rsid w:val="0019726E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2CE5"/>
    <w:rsid w:val="001D6181"/>
    <w:rsid w:val="001E24E7"/>
    <w:rsid w:val="001E357E"/>
    <w:rsid w:val="001F10A4"/>
    <w:rsid w:val="001F1172"/>
    <w:rsid w:val="001F2A35"/>
    <w:rsid w:val="001F2B38"/>
    <w:rsid w:val="00201D0B"/>
    <w:rsid w:val="002020ED"/>
    <w:rsid w:val="00202520"/>
    <w:rsid w:val="00204E10"/>
    <w:rsid w:val="002060A8"/>
    <w:rsid w:val="00212EBD"/>
    <w:rsid w:val="00216E0B"/>
    <w:rsid w:val="002172A0"/>
    <w:rsid w:val="00222F25"/>
    <w:rsid w:val="00223B7D"/>
    <w:rsid w:val="00223BA4"/>
    <w:rsid w:val="00232E29"/>
    <w:rsid w:val="00233E3F"/>
    <w:rsid w:val="00234ABC"/>
    <w:rsid w:val="00245120"/>
    <w:rsid w:val="002530A5"/>
    <w:rsid w:val="00254C44"/>
    <w:rsid w:val="002607F8"/>
    <w:rsid w:val="002627E5"/>
    <w:rsid w:val="00262A3A"/>
    <w:rsid w:val="00263C71"/>
    <w:rsid w:val="00263D08"/>
    <w:rsid w:val="00275798"/>
    <w:rsid w:val="00277AA1"/>
    <w:rsid w:val="002968D1"/>
    <w:rsid w:val="002A0794"/>
    <w:rsid w:val="002A1D9D"/>
    <w:rsid w:val="002A20C1"/>
    <w:rsid w:val="002A2516"/>
    <w:rsid w:val="002A61F5"/>
    <w:rsid w:val="002C1007"/>
    <w:rsid w:val="002C6556"/>
    <w:rsid w:val="002C72A4"/>
    <w:rsid w:val="002D12F0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CF8"/>
    <w:rsid w:val="00326107"/>
    <w:rsid w:val="00326834"/>
    <w:rsid w:val="00326AA3"/>
    <w:rsid w:val="00327663"/>
    <w:rsid w:val="00327CB7"/>
    <w:rsid w:val="00331761"/>
    <w:rsid w:val="00344B55"/>
    <w:rsid w:val="003521E6"/>
    <w:rsid w:val="00352916"/>
    <w:rsid w:val="00352AF5"/>
    <w:rsid w:val="003532A9"/>
    <w:rsid w:val="003550A9"/>
    <w:rsid w:val="003600CE"/>
    <w:rsid w:val="003635BF"/>
    <w:rsid w:val="00363C57"/>
    <w:rsid w:val="00365811"/>
    <w:rsid w:val="00365A4A"/>
    <w:rsid w:val="003733DE"/>
    <w:rsid w:val="00373B3D"/>
    <w:rsid w:val="00374230"/>
    <w:rsid w:val="003753A5"/>
    <w:rsid w:val="0038028D"/>
    <w:rsid w:val="00386F4B"/>
    <w:rsid w:val="0039145A"/>
    <w:rsid w:val="00393AAD"/>
    <w:rsid w:val="003A028E"/>
    <w:rsid w:val="003A11ED"/>
    <w:rsid w:val="003A4BA3"/>
    <w:rsid w:val="003A5DA1"/>
    <w:rsid w:val="003B6718"/>
    <w:rsid w:val="003B7DA5"/>
    <w:rsid w:val="003C77E1"/>
    <w:rsid w:val="003D4349"/>
    <w:rsid w:val="003E2187"/>
    <w:rsid w:val="003E458C"/>
    <w:rsid w:val="003E66EF"/>
    <w:rsid w:val="003F2138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35A07"/>
    <w:rsid w:val="004467F3"/>
    <w:rsid w:val="00446A67"/>
    <w:rsid w:val="00451AB0"/>
    <w:rsid w:val="004531DD"/>
    <w:rsid w:val="00461594"/>
    <w:rsid w:val="00461692"/>
    <w:rsid w:val="00461F00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43EE"/>
    <w:rsid w:val="004B6C36"/>
    <w:rsid w:val="004B731B"/>
    <w:rsid w:val="004C283D"/>
    <w:rsid w:val="004C471D"/>
    <w:rsid w:val="004D0A39"/>
    <w:rsid w:val="004D14DE"/>
    <w:rsid w:val="004D620E"/>
    <w:rsid w:val="004D7526"/>
    <w:rsid w:val="004E063E"/>
    <w:rsid w:val="004E0750"/>
    <w:rsid w:val="004E0D9E"/>
    <w:rsid w:val="004E3A40"/>
    <w:rsid w:val="004E3CA1"/>
    <w:rsid w:val="004E4137"/>
    <w:rsid w:val="004E5496"/>
    <w:rsid w:val="004E57B3"/>
    <w:rsid w:val="004E6F58"/>
    <w:rsid w:val="004F537D"/>
    <w:rsid w:val="004F5BF2"/>
    <w:rsid w:val="004F7881"/>
    <w:rsid w:val="00501B4E"/>
    <w:rsid w:val="005060EC"/>
    <w:rsid w:val="0051055F"/>
    <w:rsid w:val="005106D0"/>
    <w:rsid w:val="00511AD1"/>
    <w:rsid w:val="00511C81"/>
    <w:rsid w:val="00520821"/>
    <w:rsid w:val="00520838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1D1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C174B"/>
    <w:rsid w:val="005C524F"/>
    <w:rsid w:val="005C6816"/>
    <w:rsid w:val="005D2C47"/>
    <w:rsid w:val="005D3B86"/>
    <w:rsid w:val="005D4A21"/>
    <w:rsid w:val="005E2BD8"/>
    <w:rsid w:val="005E3983"/>
    <w:rsid w:val="006026BE"/>
    <w:rsid w:val="006039AF"/>
    <w:rsid w:val="006064F7"/>
    <w:rsid w:val="00610EBF"/>
    <w:rsid w:val="0061489B"/>
    <w:rsid w:val="00616A7F"/>
    <w:rsid w:val="00617594"/>
    <w:rsid w:val="00621211"/>
    <w:rsid w:val="0062720D"/>
    <w:rsid w:val="006277C0"/>
    <w:rsid w:val="006309EA"/>
    <w:rsid w:val="00630BE7"/>
    <w:rsid w:val="006371D1"/>
    <w:rsid w:val="00637517"/>
    <w:rsid w:val="00642FE8"/>
    <w:rsid w:val="00657B36"/>
    <w:rsid w:val="00660983"/>
    <w:rsid w:val="0066385C"/>
    <w:rsid w:val="00674A84"/>
    <w:rsid w:val="006843A3"/>
    <w:rsid w:val="00690E2E"/>
    <w:rsid w:val="006925B0"/>
    <w:rsid w:val="00695FE3"/>
    <w:rsid w:val="0069669C"/>
    <w:rsid w:val="006A251E"/>
    <w:rsid w:val="006A2DE1"/>
    <w:rsid w:val="006A435F"/>
    <w:rsid w:val="006B0461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1220C"/>
    <w:rsid w:val="00717B8A"/>
    <w:rsid w:val="00722A7E"/>
    <w:rsid w:val="00730DF0"/>
    <w:rsid w:val="00732C24"/>
    <w:rsid w:val="0073762F"/>
    <w:rsid w:val="00744689"/>
    <w:rsid w:val="00756A89"/>
    <w:rsid w:val="00761D35"/>
    <w:rsid w:val="00762A4E"/>
    <w:rsid w:val="00766AB0"/>
    <w:rsid w:val="00770B74"/>
    <w:rsid w:val="00771EB1"/>
    <w:rsid w:val="0077307B"/>
    <w:rsid w:val="0077320E"/>
    <w:rsid w:val="0077504F"/>
    <w:rsid w:val="00790E32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55D"/>
    <w:rsid w:val="007C7BC1"/>
    <w:rsid w:val="007D5567"/>
    <w:rsid w:val="007E18B9"/>
    <w:rsid w:val="007E2A21"/>
    <w:rsid w:val="007E729D"/>
    <w:rsid w:val="007F38CF"/>
    <w:rsid w:val="007F3973"/>
    <w:rsid w:val="007F654B"/>
    <w:rsid w:val="00802D7C"/>
    <w:rsid w:val="00806270"/>
    <w:rsid w:val="00812816"/>
    <w:rsid w:val="00812A23"/>
    <w:rsid w:val="00817E09"/>
    <w:rsid w:val="00820DE3"/>
    <w:rsid w:val="0082241C"/>
    <w:rsid w:val="00822498"/>
    <w:rsid w:val="00824DF1"/>
    <w:rsid w:val="00825B61"/>
    <w:rsid w:val="00826629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759D5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6940"/>
    <w:rsid w:val="008C73E9"/>
    <w:rsid w:val="008C7D2E"/>
    <w:rsid w:val="008D1D1C"/>
    <w:rsid w:val="008D30E7"/>
    <w:rsid w:val="008E158B"/>
    <w:rsid w:val="008E49F7"/>
    <w:rsid w:val="008E5283"/>
    <w:rsid w:val="008E7296"/>
    <w:rsid w:val="008F0C08"/>
    <w:rsid w:val="008F6453"/>
    <w:rsid w:val="00901061"/>
    <w:rsid w:val="009104CD"/>
    <w:rsid w:val="00910BC0"/>
    <w:rsid w:val="00911168"/>
    <w:rsid w:val="00914572"/>
    <w:rsid w:val="00921A2A"/>
    <w:rsid w:val="009222F2"/>
    <w:rsid w:val="00926EA9"/>
    <w:rsid w:val="00927C42"/>
    <w:rsid w:val="009321FE"/>
    <w:rsid w:val="009343AA"/>
    <w:rsid w:val="00937605"/>
    <w:rsid w:val="00937CA6"/>
    <w:rsid w:val="009412DB"/>
    <w:rsid w:val="0094196D"/>
    <w:rsid w:val="00941CBF"/>
    <w:rsid w:val="00950AB5"/>
    <w:rsid w:val="00951AD5"/>
    <w:rsid w:val="00952A1F"/>
    <w:rsid w:val="00956413"/>
    <w:rsid w:val="00957AF1"/>
    <w:rsid w:val="009653BD"/>
    <w:rsid w:val="009666E6"/>
    <w:rsid w:val="009745B7"/>
    <w:rsid w:val="00974D55"/>
    <w:rsid w:val="00977F7A"/>
    <w:rsid w:val="00982473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6367"/>
    <w:rsid w:val="00A178EF"/>
    <w:rsid w:val="00A2091B"/>
    <w:rsid w:val="00A214DF"/>
    <w:rsid w:val="00A22778"/>
    <w:rsid w:val="00A272E7"/>
    <w:rsid w:val="00A30F3C"/>
    <w:rsid w:val="00A32EAD"/>
    <w:rsid w:val="00A3370A"/>
    <w:rsid w:val="00A33E27"/>
    <w:rsid w:val="00A426B8"/>
    <w:rsid w:val="00A509A5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6E6C"/>
    <w:rsid w:val="00A77E80"/>
    <w:rsid w:val="00A83324"/>
    <w:rsid w:val="00A876B1"/>
    <w:rsid w:val="00A94258"/>
    <w:rsid w:val="00A973B3"/>
    <w:rsid w:val="00AA2BFF"/>
    <w:rsid w:val="00AA6C6B"/>
    <w:rsid w:val="00AB1310"/>
    <w:rsid w:val="00AB3DFC"/>
    <w:rsid w:val="00AC013F"/>
    <w:rsid w:val="00AC2AAA"/>
    <w:rsid w:val="00AC4E7C"/>
    <w:rsid w:val="00AC4E94"/>
    <w:rsid w:val="00AC6A03"/>
    <w:rsid w:val="00AC6E49"/>
    <w:rsid w:val="00AD323B"/>
    <w:rsid w:val="00AD5B67"/>
    <w:rsid w:val="00AE1FB1"/>
    <w:rsid w:val="00AE3C3C"/>
    <w:rsid w:val="00AE4785"/>
    <w:rsid w:val="00AE5851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7379"/>
    <w:rsid w:val="00B81D07"/>
    <w:rsid w:val="00B827D7"/>
    <w:rsid w:val="00B83636"/>
    <w:rsid w:val="00B850E5"/>
    <w:rsid w:val="00B93782"/>
    <w:rsid w:val="00B93F23"/>
    <w:rsid w:val="00BA37CC"/>
    <w:rsid w:val="00BA6069"/>
    <w:rsid w:val="00BA6B0A"/>
    <w:rsid w:val="00BB0393"/>
    <w:rsid w:val="00BB20D9"/>
    <w:rsid w:val="00BB52A2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E53E2"/>
    <w:rsid w:val="00BF2798"/>
    <w:rsid w:val="00BF6190"/>
    <w:rsid w:val="00C00051"/>
    <w:rsid w:val="00C01026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658A"/>
    <w:rsid w:val="00C81528"/>
    <w:rsid w:val="00C81713"/>
    <w:rsid w:val="00C81DA4"/>
    <w:rsid w:val="00C82759"/>
    <w:rsid w:val="00C9017C"/>
    <w:rsid w:val="00C9591D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1BF2"/>
    <w:rsid w:val="00CC25E8"/>
    <w:rsid w:val="00CC3588"/>
    <w:rsid w:val="00CC3710"/>
    <w:rsid w:val="00CD371E"/>
    <w:rsid w:val="00CD530F"/>
    <w:rsid w:val="00CD566D"/>
    <w:rsid w:val="00CE479C"/>
    <w:rsid w:val="00CF7A93"/>
    <w:rsid w:val="00D013B1"/>
    <w:rsid w:val="00D079C1"/>
    <w:rsid w:val="00D2299A"/>
    <w:rsid w:val="00D24713"/>
    <w:rsid w:val="00D24D93"/>
    <w:rsid w:val="00D34553"/>
    <w:rsid w:val="00D442C0"/>
    <w:rsid w:val="00D45C57"/>
    <w:rsid w:val="00D46938"/>
    <w:rsid w:val="00D46BF3"/>
    <w:rsid w:val="00D50BBC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2C54"/>
    <w:rsid w:val="00DA39B2"/>
    <w:rsid w:val="00DA65B5"/>
    <w:rsid w:val="00DA67C8"/>
    <w:rsid w:val="00DA7CDA"/>
    <w:rsid w:val="00DB21DF"/>
    <w:rsid w:val="00DC1962"/>
    <w:rsid w:val="00DC423D"/>
    <w:rsid w:val="00DC7E8F"/>
    <w:rsid w:val="00DD21EE"/>
    <w:rsid w:val="00DE175C"/>
    <w:rsid w:val="00DE215D"/>
    <w:rsid w:val="00DE5C35"/>
    <w:rsid w:val="00DE7565"/>
    <w:rsid w:val="00DF2E36"/>
    <w:rsid w:val="00DF69C2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41A17"/>
    <w:rsid w:val="00E422C9"/>
    <w:rsid w:val="00E43ED4"/>
    <w:rsid w:val="00E44D6E"/>
    <w:rsid w:val="00E45925"/>
    <w:rsid w:val="00E55AB1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5420"/>
    <w:rsid w:val="00EA6372"/>
    <w:rsid w:val="00EB35DA"/>
    <w:rsid w:val="00EB3C0F"/>
    <w:rsid w:val="00EB41D2"/>
    <w:rsid w:val="00EC3931"/>
    <w:rsid w:val="00EC5417"/>
    <w:rsid w:val="00EC59F2"/>
    <w:rsid w:val="00ED0E45"/>
    <w:rsid w:val="00ED52A2"/>
    <w:rsid w:val="00EE2B61"/>
    <w:rsid w:val="00EE6A50"/>
    <w:rsid w:val="00EE7B75"/>
    <w:rsid w:val="00EF02A8"/>
    <w:rsid w:val="00EF0CDD"/>
    <w:rsid w:val="00EF25E4"/>
    <w:rsid w:val="00EF26D8"/>
    <w:rsid w:val="00EF54BA"/>
    <w:rsid w:val="00EF5FBF"/>
    <w:rsid w:val="00F000A4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80CF1"/>
    <w:rsid w:val="00F8358D"/>
    <w:rsid w:val="00F84560"/>
    <w:rsid w:val="00F84A05"/>
    <w:rsid w:val="00F85CA7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6946"/>
  <w15:docId w15:val="{31C48A66-F4C7-4BC3-ACF1-7E342839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17B8A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17B8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D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D2B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cp:lastPrinted>2016-08-15T02:04:00Z</cp:lastPrinted>
  <dcterms:created xsi:type="dcterms:W3CDTF">2015-11-03T02:45:00Z</dcterms:created>
  <dcterms:modified xsi:type="dcterms:W3CDTF">2018-11-30T02:57:00Z</dcterms:modified>
</cp:coreProperties>
</file>