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7D5" w:rsidRPr="00040B90" w:rsidRDefault="00E837D5" w:rsidP="00E837D5">
      <w:pPr>
        <w:pStyle w:val="a3"/>
        <w:kinsoku w:val="0"/>
        <w:overflowPunct w:val="0"/>
        <w:snapToGrid w:val="0"/>
        <w:spacing w:after="0" w:line="360" w:lineRule="auto"/>
        <w:jc w:val="center"/>
        <w:rPr>
          <w:rFonts w:eastAsia="標楷體"/>
          <w:b/>
          <w:color w:val="000000"/>
          <w:sz w:val="32"/>
          <w:szCs w:val="32"/>
        </w:rPr>
      </w:pPr>
      <w:bookmarkStart w:id="0" w:name="_GoBack"/>
      <w:bookmarkEnd w:id="0"/>
      <w:proofErr w:type="spellStart"/>
      <w:r w:rsidRPr="00040B90">
        <w:rPr>
          <w:rFonts w:eastAsia="標楷體"/>
          <w:b/>
          <w:color w:val="000000"/>
          <w:sz w:val="32"/>
          <w:szCs w:val="32"/>
        </w:rPr>
        <w:t>南臺科技大學執行科技部計畫聘僱專任人員工作酬金支給原則</w:t>
      </w:r>
      <w:proofErr w:type="spellEnd"/>
    </w:p>
    <w:p w:rsidR="00E837D5" w:rsidRPr="00040B90" w:rsidRDefault="00E837D5" w:rsidP="00E837D5">
      <w:pPr>
        <w:pStyle w:val="a3"/>
        <w:kinsoku w:val="0"/>
        <w:overflowPunct w:val="0"/>
        <w:snapToGrid w:val="0"/>
        <w:spacing w:after="0" w:line="240" w:lineRule="exact"/>
        <w:jc w:val="right"/>
        <w:rPr>
          <w:rFonts w:eastAsia="標楷體"/>
          <w:color w:val="000000"/>
          <w:sz w:val="20"/>
          <w:szCs w:val="20"/>
        </w:rPr>
      </w:pPr>
      <w:r w:rsidRPr="00040B90">
        <w:rPr>
          <w:rFonts w:eastAsia="標楷體"/>
          <w:color w:val="000000"/>
          <w:sz w:val="20"/>
          <w:szCs w:val="20"/>
        </w:rPr>
        <w:t>民國</w:t>
      </w:r>
      <w:r w:rsidRPr="00040B90">
        <w:rPr>
          <w:rFonts w:eastAsia="標楷體"/>
          <w:color w:val="000000"/>
          <w:sz w:val="20"/>
          <w:szCs w:val="20"/>
        </w:rPr>
        <w:t>106</w:t>
      </w:r>
      <w:r w:rsidRPr="00040B90">
        <w:rPr>
          <w:rFonts w:eastAsia="標楷體"/>
          <w:color w:val="000000"/>
          <w:spacing w:val="-52"/>
          <w:sz w:val="20"/>
          <w:szCs w:val="20"/>
        </w:rPr>
        <w:t xml:space="preserve"> </w:t>
      </w:r>
      <w:r w:rsidRPr="00040B90">
        <w:rPr>
          <w:rFonts w:eastAsia="標楷體"/>
          <w:color w:val="000000"/>
          <w:sz w:val="20"/>
          <w:szCs w:val="20"/>
        </w:rPr>
        <w:t>年</w:t>
      </w:r>
      <w:r w:rsidRPr="00040B90">
        <w:rPr>
          <w:rFonts w:eastAsia="標楷體"/>
          <w:color w:val="000000"/>
          <w:sz w:val="20"/>
          <w:szCs w:val="20"/>
        </w:rPr>
        <w:t>07</w:t>
      </w:r>
      <w:r w:rsidRPr="00040B90">
        <w:rPr>
          <w:rFonts w:eastAsia="標楷體"/>
          <w:color w:val="000000"/>
          <w:sz w:val="20"/>
          <w:szCs w:val="20"/>
        </w:rPr>
        <w:t>月</w:t>
      </w:r>
      <w:r w:rsidRPr="00040B90">
        <w:rPr>
          <w:rFonts w:eastAsia="標楷體"/>
          <w:color w:val="000000"/>
          <w:sz w:val="20"/>
          <w:szCs w:val="20"/>
        </w:rPr>
        <w:t>28</w:t>
      </w:r>
      <w:r w:rsidRPr="00040B90">
        <w:rPr>
          <w:rFonts w:eastAsia="標楷體"/>
          <w:color w:val="000000"/>
          <w:sz w:val="20"/>
          <w:szCs w:val="20"/>
        </w:rPr>
        <w:t>日行政會議通過</w:t>
      </w:r>
    </w:p>
    <w:p w:rsidR="00E837D5" w:rsidRPr="00040B90" w:rsidRDefault="00E837D5" w:rsidP="00E837D5">
      <w:pPr>
        <w:pStyle w:val="a3"/>
        <w:kinsoku w:val="0"/>
        <w:overflowPunct w:val="0"/>
        <w:snapToGrid w:val="0"/>
        <w:spacing w:after="0" w:line="240" w:lineRule="exact"/>
        <w:jc w:val="right"/>
        <w:rPr>
          <w:rFonts w:eastAsia="標楷體"/>
          <w:color w:val="000000"/>
          <w:sz w:val="20"/>
          <w:szCs w:val="20"/>
        </w:rPr>
      </w:pPr>
      <w:r w:rsidRPr="00040B90">
        <w:rPr>
          <w:rFonts w:eastAsia="標楷體"/>
          <w:color w:val="000000"/>
          <w:sz w:val="20"/>
          <w:szCs w:val="20"/>
        </w:rPr>
        <w:t>民國</w:t>
      </w:r>
      <w:r w:rsidRPr="00040B90">
        <w:rPr>
          <w:rFonts w:eastAsia="標楷體"/>
          <w:color w:val="000000"/>
          <w:sz w:val="20"/>
          <w:szCs w:val="20"/>
        </w:rPr>
        <w:t>108</w:t>
      </w:r>
      <w:r w:rsidRPr="00040B90">
        <w:rPr>
          <w:rFonts w:eastAsia="標楷體"/>
          <w:color w:val="000000"/>
          <w:spacing w:val="-52"/>
          <w:sz w:val="20"/>
          <w:szCs w:val="20"/>
        </w:rPr>
        <w:t xml:space="preserve"> </w:t>
      </w:r>
      <w:r w:rsidRPr="00040B90">
        <w:rPr>
          <w:rFonts w:eastAsia="標楷體"/>
          <w:color w:val="000000"/>
          <w:sz w:val="20"/>
          <w:szCs w:val="20"/>
        </w:rPr>
        <w:t>年</w:t>
      </w:r>
      <w:r>
        <w:rPr>
          <w:rFonts w:eastAsia="標楷體" w:hint="eastAsia"/>
          <w:color w:val="000000"/>
          <w:sz w:val="20"/>
          <w:szCs w:val="20"/>
          <w:lang w:eastAsia="zh-TW"/>
        </w:rPr>
        <w:t>12</w:t>
      </w:r>
      <w:r w:rsidRPr="00040B90">
        <w:rPr>
          <w:rFonts w:eastAsia="標楷體"/>
          <w:color w:val="000000"/>
          <w:sz w:val="20"/>
          <w:szCs w:val="20"/>
        </w:rPr>
        <w:t>月</w:t>
      </w:r>
      <w:r>
        <w:rPr>
          <w:rFonts w:eastAsia="標楷體" w:hint="eastAsia"/>
          <w:color w:val="000000"/>
          <w:sz w:val="20"/>
          <w:szCs w:val="20"/>
          <w:lang w:eastAsia="zh-TW"/>
        </w:rPr>
        <w:t>30</w:t>
      </w:r>
      <w:r w:rsidRPr="00040B90">
        <w:rPr>
          <w:rFonts w:eastAsia="標楷體"/>
          <w:color w:val="000000"/>
          <w:sz w:val="20"/>
          <w:szCs w:val="20"/>
        </w:rPr>
        <w:t>日行政會議</w:t>
      </w:r>
      <w:r>
        <w:rPr>
          <w:rFonts w:eastAsia="標楷體" w:hint="eastAsia"/>
          <w:color w:val="000000"/>
          <w:sz w:val="20"/>
          <w:szCs w:val="20"/>
          <w:lang w:eastAsia="zh-TW"/>
        </w:rPr>
        <w:t>修正</w:t>
      </w:r>
      <w:proofErr w:type="spellStart"/>
      <w:r w:rsidRPr="00040B90">
        <w:rPr>
          <w:rFonts w:eastAsia="標楷體"/>
          <w:color w:val="000000"/>
          <w:sz w:val="20"/>
          <w:szCs w:val="20"/>
        </w:rPr>
        <w:t>通過</w:t>
      </w:r>
      <w:proofErr w:type="spellEnd"/>
    </w:p>
    <w:p w:rsidR="00E837D5" w:rsidRPr="00040B90" w:rsidRDefault="00E837D5" w:rsidP="00E837D5">
      <w:pPr>
        <w:pStyle w:val="a3"/>
        <w:kinsoku w:val="0"/>
        <w:overflowPunct w:val="0"/>
        <w:snapToGrid w:val="0"/>
        <w:spacing w:after="0" w:line="240" w:lineRule="exact"/>
        <w:jc w:val="right"/>
        <w:rPr>
          <w:rFonts w:eastAsia="標楷體"/>
          <w:color w:val="000000"/>
          <w:sz w:val="20"/>
          <w:szCs w:val="20"/>
        </w:rPr>
      </w:pPr>
    </w:p>
    <w:p w:rsidR="00E837D5" w:rsidRPr="00040B90" w:rsidRDefault="00E837D5" w:rsidP="00E837D5">
      <w:pPr>
        <w:pStyle w:val="a3"/>
        <w:kinsoku w:val="0"/>
        <w:overflowPunct w:val="0"/>
        <w:snapToGrid w:val="0"/>
        <w:spacing w:after="0"/>
        <w:ind w:left="490" w:hangingChars="204" w:hanging="490"/>
        <w:jc w:val="both"/>
        <w:rPr>
          <w:rFonts w:eastAsia="標楷體"/>
          <w:color w:val="000000"/>
        </w:rPr>
      </w:pPr>
      <w:proofErr w:type="spellStart"/>
      <w:r w:rsidRPr="00040B90">
        <w:rPr>
          <w:rFonts w:eastAsia="標楷體"/>
          <w:color w:val="000000"/>
        </w:rPr>
        <w:t>一、南臺科技大學</w:t>
      </w:r>
      <w:proofErr w:type="spellEnd"/>
      <w:r w:rsidRPr="00040B90">
        <w:rPr>
          <w:rFonts w:eastAsia="標楷體"/>
          <w:color w:val="000000"/>
        </w:rPr>
        <w:t>(</w:t>
      </w:r>
      <w:proofErr w:type="spellStart"/>
      <w:r w:rsidRPr="00040B90">
        <w:rPr>
          <w:rFonts w:eastAsia="標楷體"/>
          <w:color w:val="000000"/>
        </w:rPr>
        <w:t>以下簡稱本校</w:t>
      </w:r>
      <w:proofErr w:type="spellEnd"/>
      <w:r w:rsidRPr="00040B90">
        <w:rPr>
          <w:rFonts w:eastAsia="標楷體"/>
          <w:color w:val="000000"/>
        </w:rPr>
        <w:t>)</w:t>
      </w:r>
      <w:proofErr w:type="spellStart"/>
      <w:r w:rsidRPr="00040B90">
        <w:rPr>
          <w:rFonts w:eastAsia="標楷體"/>
          <w:color w:val="000000"/>
        </w:rPr>
        <w:t>為辦理科技部計畫人員工作酬金支給，特訂定本原則</w:t>
      </w:r>
      <w:proofErr w:type="spellEnd"/>
      <w:r w:rsidRPr="00040B90">
        <w:rPr>
          <w:rFonts w:eastAsia="標楷體"/>
          <w:color w:val="000000"/>
        </w:rPr>
        <w:t>。</w:t>
      </w:r>
    </w:p>
    <w:p w:rsidR="00E837D5" w:rsidRPr="00040B90" w:rsidRDefault="00E837D5" w:rsidP="00E837D5">
      <w:pPr>
        <w:pStyle w:val="a3"/>
        <w:kinsoku w:val="0"/>
        <w:overflowPunct w:val="0"/>
        <w:snapToGrid w:val="0"/>
        <w:spacing w:after="0"/>
        <w:ind w:left="490" w:hangingChars="204" w:hanging="490"/>
        <w:jc w:val="both"/>
        <w:rPr>
          <w:rFonts w:eastAsia="標楷體"/>
          <w:color w:val="000000"/>
        </w:rPr>
      </w:pPr>
      <w:r w:rsidRPr="00040B90">
        <w:rPr>
          <w:rFonts w:eastAsia="標楷體"/>
          <w:color w:val="000000"/>
        </w:rPr>
        <w:t>二、本校執行科技部計畫支給專任人員起聘月酬金分為「</w:t>
      </w:r>
      <w:r w:rsidRPr="00040B90">
        <w:rPr>
          <w:rFonts w:eastAsia="標楷體"/>
          <w:b/>
          <w:color w:val="000000"/>
        </w:rPr>
        <w:t>基本薪資</w:t>
      </w:r>
      <w:r w:rsidRPr="00040B90">
        <w:rPr>
          <w:rFonts w:eastAsia="標楷體"/>
          <w:color w:val="000000"/>
        </w:rPr>
        <w:t>」及「</w:t>
      </w:r>
      <w:r w:rsidRPr="00040B90">
        <w:rPr>
          <w:rFonts w:eastAsia="標楷體"/>
          <w:b/>
          <w:color w:val="000000"/>
        </w:rPr>
        <w:t>加給薪資</w:t>
      </w:r>
      <w:r w:rsidRPr="00040B90">
        <w:rPr>
          <w:rFonts w:eastAsia="標楷體"/>
          <w:color w:val="000000"/>
        </w:rPr>
        <w:t>」</w:t>
      </w:r>
      <w:r w:rsidRPr="00040B90">
        <w:rPr>
          <w:rFonts w:eastAsia="標楷體"/>
          <w:color w:val="000000"/>
        </w:rPr>
        <w:t>(</w:t>
      </w:r>
      <w:r w:rsidRPr="00040B90">
        <w:rPr>
          <w:rFonts w:eastAsia="標楷體"/>
          <w:color w:val="000000"/>
        </w:rPr>
        <w:t>如下表</w:t>
      </w:r>
      <w:r w:rsidRPr="00040B90">
        <w:rPr>
          <w:rFonts w:eastAsia="標楷體"/>
          <w:color w:val="000000"/>
        </w:rPr>
        <w:t>)</w:t>
      </w:r>
      <w:r w:rsidRPr="00040B90">
        <w:rPr>
          <w:rFonts w:eastAsia="標楷體"/>
          <w:color w:val="000000"/>
        </w:rPr>
        <w:t>。新進人員起薪依學歷核給「基本薪資」，並得由計畫主持人依受聘僱人員之專業能力、學術地位、特殊技術、專業證照及服務年資等綜合考量後，提出「加給薪資」之建議，依本校流程簽請核定其起聘月酬金。</w:t>
      </w:r>
      <w:r w:rsidRPr="00040B90">
        <w:rPr>
          <w:rFonts w:eastAsia="標楷體"/>
          <w:color w:val="000000"/>
        </w:rPr>
        <w:t xml:space="preserve">                      </w:t>
      </w:r>
    </w:p>
    <w:p w:rsidR="00E837D5" w:rsidRPr="00040B90" w:rsidRDefault="00E837D5" w:rsidP="00E837D5">
      <w:pPr>
        <w:pStyle w:val="a3"/>
        <w:kinsoku w:val="0"/>
        <w:overflowPunct w:val="0"/>
        <w:snapToGrid w:val="0"/>
        <w:spacing w:after="0"/>
        <w:ind w:left="363"/>
        <w:jc w:val="right"/>
        <w:rPr>
          <w:rFonts w:eastAsia="標楷體"/>
          <w:color w:val="000000"/>
        </w:rPr>
      </w:pPr>
      <w:r w:rsidRPr="00040B90">
        <w:rPr>
          <w:rFonts w:eastAsia="標楷體"/>
          <w:color w:val="000000"/>
          <w:spacing w:val="-1"/>
        </w:rPr>
        <w:t xml:space="preserve"> </w:t>
      </w:r>
      <w:proofErr w:type="spellStart"/>
      <w:r w:rsidRPr="00040B90">
        <w:rPr>
          <w:rFonts w:eastAsia="標楷體"/>
          <w:color w:val="000000"/>
          <w:szCs w:val="20"/>
        </w:rPr>
        <w:t>單位：新臺幣元</w:t>
      </w:r>
      <w:proofErr w:type="spellEnd"/>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323"/>
        <w:gridCol w:w="1323"/>
        <w:gridCol w:w="1323"/>
        <w:gridCol w:w="1323"/>
        <w:gridCol w:w="1323"/>
        <w:gridCol w:w="1323"/>
      </w:tblGrid>
      <w:tr w:rsidR="00E837D5" w:rsidRPr="00040B90" w:rsidTr="009E1FB1">
        <w:trPr>
          <w:trHeight w:val="706"/>
        </w:trPr>
        <w:tc>
          <w:tcPr>
            <w:tcW w:w="1275"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E837D5" w:rsidRPr="00040B90" w:rsidRDefault="00E837D5" w:rsidP="009E1FB1">
            <w:pPr>
              <w:pStyle w:val="a3"/>
              <w:kinsoku w:val="0"/>
              <w:overflowPunct w:val="0"/>
              <w:snapToGrid w:val="0"/>
              <w:spacing w:after="0"/>
              <w:ind w:right="-23"/>
              <w:jc w:val="right"/>
              <w:rPr>
                <w:rFonts w:eastAsia="標楷體"/>
                <w:color w:val="000000"/>
                <w:sz w:val="22"/>
                <w:szCs w:val="22"/>
              </w:rPr>
            </w:pPr>
            <w:proofErr w:type="spellStart"/>
            <w:r w:rsidRPr="00040B90">
              <w:rPr>
                <w:rFonts w:eastAsia="標楷體"/>
                <w:color w:val="000000"/>
                <w:sz w:val="22"/>
                <w:szCs w:val="22"/>
              </w:rPr>
              <w:t>學歷</w:t>
            </w:r>
            <w:proofErr w:type="spellEnd"/>
          </w:p>
          <w:p w:rsidR="00E837D5" w:rsidRPr="00040B90" w:rsidRDefault="00E837D5" w:rsidP="009E1FB1">
            <w:pPr>
              <w:pStyle w:val="a3"/>
              <w:kinsoku w:val="0"/>
              <w:overflowPunct w:val="0"/>
              <w:snapToGrid w:val="0"/>
              <w:spacing w:after="0"/>
              <w:ind w:leftChars="-45" w:left="-108" w:right="-23"/>
              <w:rPr>
                <w:rFonts w:eastAsia="標楷體"/>
                <w:color w:val="000000"/>
                <w:sz w:val="22"/>
                <w:szCs w:val="22"/>
              </w:rPr>
            </w:pPr>
            <w:proofErr w:type="spellStart"/>
            <w:r w:rsidRPr="00040B90">
              <w:rPr>
                <w:rFonts w:eastAsia="標楷體"/>
                <w:color w:val="000000"/>
                <w:sz w:val="22"/>
                <w:szCs w:val="22"/>
              </w:rPr>
              <w:t>起聘</w:t>
            </w:r>
            <w:proofErr w:type="spellEnd"/>
          </w:p>
          <w:p w:rsidR="00E837D5" w:rsidRPr="00040B90" w:rsidRDefault="00E837D5" w:rsidP="009E1FB1">
            <w:pPr>
              <w:pStyle w:val="a3"/>
              <w:kinsoku w:val="0"/>
              <w:overflowPunct w:val="0"/>
              <w:snapToGrid w:val="0"/>
              <w:spacing w:after="0"/>
              <w:ind w:leftChars="-45" w:left="-108" w:right="-23"/>
              <w:rPr>
                <w:rFonts w:eastAsia="標楷體"/>
                <w:color w:val="000000"/>
                <w:sz w:val="22"/>
                <w:szCs w:val="22"/>
              </w:rPr>
            </w:pPr>
            <w:proofErr w:type="spellStart"/>
            <w:r w:rsidRPr="00040B90">
              <w:rPr>
                <w:rFonts w:eastAsia="標楷體"/>
                <w:color w:val="000000"/>
                <w:sz w:val="22"/>
                <w:szCs w:val="22"/>
              </w:rPr>
              <w:t>月酬金</w:t>
            </w:r>
            <w:proofErr w:type="spellEnd"/>
          </w:p>
        </w:tc>
        <w:tc>
          <w:tcPr>
            <w:tcW w:w="1323" w:type="dxa"/>
            <w:tcBorders>
              <w:left w:val="single" w:sz="4" w:space="0" w:color="auto"/>
            </w:tcBorders>
            <w:shd w:val="clear" w:color="auto" w:fill="auto"/>
            <w:vAlign w:val="center"/>
          </w:tcPr>
          <w:p w:rsidR="00E837D5" w:rsidRPr="00040B90" w:rsidRDefault="00E837D5" w:rsidP="009E1FB1">
            <w:pPr>
              <w:pStyle w:val="TableParagraph"/>
              <w:kinsoku w:val="0"/>
              <w:overflowPunct w:val="0"/>
              <w:snapToGrid w:val="0"/>
              <w:ind w:leftChars="-1" w:left="-2"/>
              <w:jc w:val="center"/>
              <w:rPr>
                <w:rFonts w:eastAsia="標楷體"/>
                <w:color w:val="000000"/>
              </w:rPr>
            </w:pPr>
            <w:r w:rsidRPr="00040B90">
              <w:rPr>
                <w:rFonts w:eastAsia="標楷體"/>
                <w:color w:val="000000"/>
              </w:rPr>
              <w:t>高中職</w:t>
            </w:r>
          </w:p>
        </w:tc>
        <w:tc>
          <w:tcPr>
            <w:tcW w:w="1323" w:type="dxa"/>
            <w:shd w:val="clear" w:color="auto" w:fill="auto"/>
            <w:vAlign w:val="center"/>
          </w:tcPr>
          <w:p w:rsidR="00E837D5" w:rsidRPr="00040B90" w:rsidRDefault="00E837D5" w:rsidP="009E1FB1">
            <w:pPr>
              <w:pStyle w:val="a3"/>
              <w:kinsoku w:val="0"/>
              <w:overflowPunct w:val="0"/>
              <w:snapToGrid w:val="0"/>
              <w:spacing w:after="0"/>
              <w:jc w:val="center"/>
              <w:rPr>
                <w:rFonts w:eastAsia="標楷體"/>
                <w:color w:val="000000"/>
              </w:rPr>
            </w:pPr>
            <w:proofErr w:type="spellStart"/>
            <w:r w:rsidRPr="00040B90">
              <w:rPr>
                <w:rFonts w:eastAsia="標楷體"/>
                <w:color w:val="000000"/>
              </w:rPr>
              <w:t>五專</w:t>
            </w:r>
            <w:proofErr w:type="spellEnd"/>
          </w:p>
          <w:p w:rsidR="00E837D5" w:rsidRPr="00040B90" w:rsidRDefault="00E837D5" w:rsidP="009E1FB1">
            <w:pPr>
              <w:pStyle w:val="a3"/>
              <w:kinsoku w:val="0"/>
              <w:overflowPunct w:val="0"/>
              <w:snapToGrid w:val="0"/>
              <w:spacing w:after="0"/>
              <w:jc w:val="center"/>
              <w:rPr>
                <w:rFonts w:eastAsia="標楷體"/>
                <w:color w:val="000000"/>
              </w:rPr>
            </w:pPr>
            <w:r w:rsidRPr="00040B90">
              <w:rPr>
                <w:rFonts w:eastAsia="標楷體"/>
                <w:color w:val="000000"/>
              </w:rPr>
              <w:t>(</w:t>
            </w:r>
            <w:proofErr w:type="spellStart"/>
            <w:r w:rsidRPr="00040B90">
              <w:rPr>
                <w:rFonts w:eastAsia="標楷體"/>
                <w:color w:val="000000"/>
              </w:rPr>
              <w:t>二專</w:t>
            </w:r>
            <w:proofErr w:type="spellEnd"/>
            <w:r w:rsidRPr="00040B90">
              <w:rPr>
                <w:rFonts w:eastAsia="標楷體"/>
                <w:color w:val="000000"/>
              </w:rPr>
              <w:t>)</w:t>
            </w:r>
          </w:p>
        </w:tc>
        <w:tc>
          <w:tcPr>
            <w:tcW w:w="1323" w:type="dxa"/>
            <w:shd w:val="clear" w:color="auto" w:fill="auto"/>
            <w:vAlign w:val="center"/>
          </w:tcPr>
          <w:p w:rsidR="00E837D5" w:rsidRPr="00040B90" w:rsidRDefault="00E837D5" w:rsidP="009E1FB1">
            <w:pPr>
              <w:pStyle w:val="TableParagraph"/>
              <w:kinsoku w:val="0"/>
              <w:overflowPunct w:val="0"/>
              <w:snapToGrid w:val="0"/>
              <w:ind w:leftChars="-1" w:left="-2"/>
              <w:jc w:val="center"/>
              <w:rPr>
                <w:rFonts w:eastAsia="標楷體"/>
                <w:color w:val="000000"/>
              </w:rPr>
            </w:pPr>
            <w:r w:rsidRPr="00040B90">
              <w:rPr>
                <w:rFonts w:eastAsia="標楷體"/>
                <w:color w:val="000000"/>
              </w:rPr>
              <w:t>三</w:t>
            </w:r>
            <w:r w:rsidRPr="00040B90">
              <w:rPr>
                <w:rFonts w:eastAsia="標楷體"/>
                <w:color w:val="000000"/>
                <w:spacing w:val="-7"/>
              </w:rPr>
              <w:t xml:space="preserve"> </w:t>
            </w:r>
            <w:r w:rsidRPr="00040B90">
              <w:rPr>
                <w:rFonts w:eastAsia="標楷體"/>
                <w:color w:val="000000"/>
              </w:rPr>
              <w:t>專</w:t>
            </w:r>
          </w:p>
        </w:tc>
        <w:tc>
          <w:tcPr>
            <w:tcW w:w="1323" w:type="dxa"/>
            <w:shd w:val="clear" w:color="auto" w:fill="auto"/>
            <w:vAlign w:val="center"/>
          </w:tcPr>
          <w:p w:rsidR="00E837D5" w:rsidRPr="00040B90" w:rsidRDefault="00E837D5" w:rsidP="009E1FB1">
            <w:pPr>
              <w:pStyle w:val="TableParagraph"/>
              <w:kinsoku w:val="0"/>
              <w:overflowPunct w:val="0"/>
              <w:snapToGrid w:val="0"/>
              <w:ind w:leftChars="-1" w:left="-2"/>
              <w:jc w:val="center"/>
              <w:rPr>
                <w:rFonts w:eastAsia="標楷體"/>
                <w:color w:val="000000"/>
              </w:rPr>
            </w:pPr>
            <w:r w:rsidRPr="00040B90">
              <w:rPr>
                <w:rFonts w:eastAsia="標楷體"/>
                <w:color w:val="000000"/>
              </w:rPr>
              <w:t>學</w:t>
            </w:r>
            <w:r w:rsidRPr="00040B90">
              <w:rPr>
                <w:rFonts w:eastAsia="標楷體"/>
                <w:color w:val="000000"/>
              </w:rPr>
              <w:t xml:space="preserve"> </w:t>
            </w:r>
            <w:r w:rsidRPr="00040B90">
              <w:rPr>
                <w:rFonts w:eastAsia="標楷體"/>
                <w:color w:val="000000"/>
              </w:rPr>
              <w:t>士</w:t>
            </w:r>
          </w:p>
        </w:tc>
        <w:tc>
          <w:tcPr>
            <w:tcW w:w="1323" w:type="dxa"/>
            <w:shd w:val="clear" w:color="auto" w:fill="auto"/>
            <w:vAlign w:val="center"/>
          </w:tcPr>
          <w:p w:rsidR="00E837D5" w:rsidRPr="00040B90" w:rsidRDefault="00E837D5" w:rsidP="009E1FB1">
            <w:pPr>
              <w:pStyle w:val="TableParagraph"/>
              <w:kinsoku w:val="0"/>
              <w:overflowPunct w:val="0"/>
              <w:snapToGrid w:val="0"/>
              <w:ind w:leftChars="-1" w:left="-2"/>
              <w:jc w:val="center"/>
              <w:rPr>
                <w:rFonts w:eastAsia="標楷體"/>
                <w:color w:val="000000"/>
              </w:rPr>
            </w:pPr>
            <w:r w:rsidRPr="00040B90">
              <w:rPr>
                <w:rFonts w:eastAsia="標楷體"/>
                <w:color w:val="000000"/>
              </w:rPr>
              <w:t>碩</w:t>
            </w:r>
            <w:r w:rsidRPr="00040B90">
              <w:rPr>
                <w:rFonts w:eastAsia="標楷體"/>
                <w:color w:val="000000"/>
              </w:rPr>
              <w:t xml:space="preserve"> </w:t>
            </w:r>
            <w:r w:rsidRPr="00040B90">
              <w:rPr>
                <w:rFonts w:eastAsia="標楷體"/>
                <w:color w:val="000000"/>
              </w:rPr>
              <w:t>士</w:t>
            </w:r>
          </w:p>
        </w:tc>
        <w:tc>
          <w:tcPr>
            <w:tcW w:w="1323" w:type="dxa"/>
            <w:shd w:val="clear" w:color="auto" w:fill="auto"/>
            <w:vAlign w:val="center"/>
          </w:tcPr>
          <w:p w:rsidR="00E837D5" w:rsidRPr="00EC52BB" w:rsidRDefault="00E837D5" w:rsidP="009E1FB1">
            <w:pPr>
              <w:pStyle w:val="TableParagraph"/>
              <w:kinsoku w:val="0"/>
              <w:overflowPunct w:val="0"/>
              <w:snapToGrid w:val="0"/>
              <w:ind w:leftChars="-55" w:left="-131" w:rightChars="-45" w:right="-108" w:hanging="1"/>
              <w:jc w:val="center"/>
              <w:rPr>
                <w:rFonts w:eastAsia="標楷體"/>
                <w:color w:val="000000"/>
              </w:rPr>
            </w:pPr>
            <w:r w:rsidRPr="00EC52BB">
              <w:rPr>
                <w:rFonts w:eastAsia="標楷體"/>
                <w:color w:val="000000" w:themeColor="text1"/>
              </w:rPr>
              <w:t>博士</w:t>
            </w:r>
          </w:p>
        </w:tc>
      </w:tr>
      <w:tr w:rsidR="00E837D5" w:rsidRPr="00040B90" w:rsidTr="009E1FB1">
        <w:trPr>
          <w:trHeight w:val="547"/>
        </w:trPr>
        <w:tc>
          <w:tcPr>
            <w:tcW w:w="1275" w:type="dxa"/>
            <w:shd w:val="clear" w:color="auto" w:fill="auto"/>
            <w:vAlign w:val="center"/>
          </w:tcPr>
          <w:p w:rsidR="00E837D5" w:rsidRPr="00040B90" w:rsidRDefault="00E837D5" w:rsidP="009E1FB1">
            <w:pPr>
              <w:pStyle w:val="TableParagraph"/>
              <w:kinsoku w:val="0"/>
              <w:overflowPunct w:val="0"/>
              <w:snapToGrid w:val="0"/>
              <w:jc w:val="center"/>
              <w:rPr>
                <w:rFonts w:eastAsia="標楷體"/>
                <w:color w:val="000000"/>
              </w:rPr>
            </w:pPr>
            <w:r w:rsidRPr="00040B90">
              <w:rPr>
                <w:rFonts w:eastAsia="標楷體"/>
                <w:color w:val="000000"/>
                <w:sz w:val="22"/>
                <w:szCs w:val="22"/>
              </w:rPr>
              <w:t>基本薪資</w:t>
            </w:r>
          </w:p>
        </w:tc>
        <w:tc>
          <w:tcPr>
            <w:tcW w:w="1323" w:type="dxa"/>
            <w:shd w:val="clear" w:color="auto" w:fill="auto"/>
            <w:vAlign w:val="center"/>
          </w:tcPr>
          <w:p w:rsidR="00E837D5" w:rsidRPr="00040B90" w:rsidRDefault="00E837D5" w:rsidP="009E1FB1">
            <w:pPr>
              <w:pStyle w:val="TableParagraph"/>
              <w:kinsoku w:val="0"/>
              <w:overflowPunct w:val="0"/>
              <w:snapToGrid w:val="0"/>
              <w:jc w:val="center"/>
              <w:rPr>
                <w:rFonts w:eastAsia="標楷體"/>
                <w:color w:val="FF0000"/>
              </w:rPr>
            </w:pPr>
            <w:r w:rsidRPr="00040B90">
              <w:rPr>
                <w:rFonts w:eastAsia="標楷體"/>
                <w:color w:val="000000" w:themeColor="text1"/>
              </w:rPr>
              <w:t>法定最低工資</w:t>
            </w:r>
          </w:p>
        </w:tc>
        <w:tc>
          <w:tcPr>
            <w:tcW w:w="1323" w:type="dxa"/>
            <w:shd w:val="clear" w:color="auto" w:fill="auto"/>
            <w:vAlign w:val="center"/>
          </w:tcPr>
          <w:p w:rsidR="00E837D5" w:rsidRPr="00040B90" w:rsidRDefault="00E837D5" w:rsidP="009E1FB1">
            <w:pPr>
              <w:pStyle w:val="TableParagraph"/>
              <w:kinsoku w:val="0"/>
              <w:overflowPunct w:val="0"/>
              <w:snapToGrid w:val="0"/>
              <w:jc w:val="center"/>
              <w:rPr>
                <w:rFonts w:eastAsia="標楷體"/>
                <w:color w:val="000000"/>
              </w:rPr>
            </w:pPr>
            <w:r w:rsidRPr="00040B90">
              <w:rPr>
                <w:rFonts w:eastAsia="標楷體"/>
                <w:color w:val="000000"/>
              </w:rPr>
              <w:t>24,620</w:t>
            </w:r>
          </w:p>
        </w:tc>
        <w:tc>
          <w:tcPr>
            <w:tcW w:w="1323" w:type="dxa"/>
            <w:shd w:val="clear" w:color="auto" w:fill="auto"/>
            <w:vAlign w:val="center"/>
          </w:tcPr>
          <w:p w:rsidR="00E837D5" w:rsidRPr="00040B90" w:rsidRDefault="00E837D5" w:rsidP="009E1FB1">
            <w:pPr>
              <w:pStyle w:val="TableParagraph"/>
              <w:kinsoku w:val="0"/>
              <w:overflowPunct w:val="0"/>
              <w:snapToGrid w:val="0"/>
              <w:jc w:val="center"/>
              <w:rPr>
                <w:rFonts w:eastAsia="標楷體"/>
                <w:color w:val="000000"/>
              </w:rPr>
            </w:pPr>
            <w:r w:rsidRPr="00040B90">
              <w:rPr>
                <w:rFonts w:eastAsia="標楷體"/>
                <w:color w:val="000000"/>
              </w:rPr>
              <w:t>26,580</w:t>
            </w:r>
          </w:p>
        </w:tc>
        <w:tc>
          <w:tcPr>
            <w:tcW w:w="1323" w:type="dxa"/>
            <w:shd w:val="clear" w:color="auto" w:fill="auto"/>
            <w:vAlign w:val="center"/>
          </w:tcPr>
          <w:p w:rsidR="00E837D5" w:rsidRPr="00040B90" w:rsidRDefault="00E837D5" w:rsidP="009E1FB1">
            <w:pPr>
              <w:pStyle w:val="TableParagraph"/>
              <w:kinsoku w:val="0"/>
              <w:overflowPunct w:val="0"/>
              <w:snapToGrid w:val="0"/>
              <w:jc w:val="center"/>
              <w:rPr>
                <w:rFonts w:eastAsia="標楷體"/>
                <w:color w:val="000000"/>
              </w:rPr>
            </w:pPr>
            <w:r w:rsidRPr="00040B90">
              <w:rPr>
                <w:rFonts w:eastAsia="標楷體"/>
                <w:color w:val="000000"/>
              </w:rPr>
              <w:t>31,520</w:t>
            </w:r>
          </w:p>
        </w:tc>
        <w:tc>
          <w:tcPr>
            <w:tcW w:w="1323" w:type="dxa"/>
            <w:shd w:val="clear" w:color="auto" w:fill="auto"/>
            <w:vAlign w:val="center"/>
          </w:tcPr>
          <w:p w:rsidR="00E837D5" w:rsidRPr="00040B90" w:rsidRDefault="00E837D5" w:rsidP="009E1FB1">
            <w:pPr>
              <w:pStyle w:val="TableParagraph"/>
              <w:kinsoku w:val="0"/>
              <w:overflowPunct w:val="0"/>
              <w:snapToGrid w:val="0"/>
              <w:jc w:val="center"/>
              <w:rPr>
                <w:rFonts w:eastAsia="標楷體"/>
                <w:color w:val="000000"/>
              </w:rPr>
            </w:pPr>
            <w:r w:rsidRPr="00040B90">
              <w:rPr>
                <w:rFonts w:eastAsia="標楷體"/>
                <w:color w:val="000000"/>
              </w:rPr>
              <w:t>36,050</w:t>
            </w:r>
          </w:p>
        </w:tc>
        <w:tc>
          <w:tcPr>
            <w:tcW w:w="1323" w:type="dxa"/>
            <w:shd w:val="clear" w:color="auto" w:fill="auto"/>
            <w:vAlign w:val="center"/>
          </w:tcPr>
          <w:p w:rsidR="00E837D5" w:rsidRPr="00040B90" w:rsidRDefault="00E837D5" w:rsidP="009E1FB1">
            <w:pPr>
              <w:pStyle w:val="TableParagraph"/>
              <w:kinsoku w:val="0"/>
              <w:overflowPunct w:val="0"/>
              <w:snapToGrid w:val="0"/>
              <w:jc w:val="center"/>
              <w:rPr>
                <w:rFonts w:eastAsia="標楷體"/>
                <w:color w:val="000000"/>
              </w:rPr>
            </w:pPr>
            <w:r w:rsidRPr="00040B90">
              <w:rPr>
                <w:rFonts w:eastAsia="標楷體"/>
                <w:color w:val="000000"/>
              </w:rPr>
              <w:t>56,650</w:t>
            </w:r>
          </w:p>
        </w:tc>
      </w:tr>
      <w:tr w:rsidR="00E837D5" w:rsidRPr="00040B90" w:rsidTr="009E1FB1">
        <w:trPr>
          <w:trHeight w:val="825"/>
        </w:trPr>
        <w:tc>
          <w:tcPr>
            <w:tcW w:w="1275" w:type="dxa"/>
            <w:shd w:val="clear" w:color="auto" w:fill="auto"/>
            <w:vAlign w:val="center"/>
          </w:tcPr>
          <w:p w:rsidR="00E837D5" w:rsidRPr="00040B90" w:rsidRDefault="00E837D5" w:rsidP="009E1FB1">
            <w:pPr>
              <w:pStyle w:val="TableParagraph"/>
              <w:kinsoku w:val="0"/>
              <w:overflowPunct w:val="0"/>
              <w:snapToGrid w:val="0"/>
              <w:jc w:val="center"/>
              <w:rPr>
                <w:rFonts w:eastAsia="標楷體"/>
                <w:color w:val="000000"/>
              </w:rPr>
            </w:pPr>
            <w:r w:rsidRPr="00040B90">
              <w:rPr>
                <w:rFonts w:eastAsia="標楷體"/>
                <w:color w:val="000000"/>
                <w:sz w:val="22"/>
                <w:szCs w:val="22"/>
              </w:rPr>
              <w:t>加給薪資</w:t>
            </w:r>
          </w:p>
        </w:tc>
        <w:tc>
          <w:tcPr>
            <w:tcW w:w="7938" w:type="dxa"/>
            <w:gridSpan w:val="6"/>
            <w:shd w:val="clear" w:color="auto" w:fill="auto"/>
            <w:vAlign w:val="center"/>
          </w:tcPr>
          <w:p w:rsidR="00E837D5" w:rsidRPr="00040B90" w:rsidRDefault="00E837D5" w:rsidP="009E1FB1">
            <w:pPr>
              <w:pStyle w:val="TableParagraph"/>
              <w:kinsoku w:val="0"/>
              <w:overflowPunct w:val="0"/>
              <w:snapToGrid w:val="0"/>
              <w:ind w:left="288" w:hangingChars="120" w:hanging="288"/>
              <w:jc w:val="both"/>
              <w:rPr>
                <w:rFonts w:eastAsia="標楷體"/>
                <w:color w:val="000000"/>
              </w:rPr>
            </w:pPr>
            <w:r w:rsidRPr="00040B90">
              <w:rPr>
                <w:rFonts w:eastAsia="標楷體"/>
                <w:color w:val="000000"/>
              </w:rPr>
              <w:t>1.</w:t>
            </w:r>
            <w:r w:rsidRPr="00040B90">
              <w:rPr>
                <w:rFonts w:eastAsia="標楷體"/>
                <w:color w:val="000000"/>
              </w:rPr>
              <w:t>年資加給點數</w:t>
            </w:r>
            <w:r w:rsidRPr="00040B90">
              <w:rPr>
                <w:rFonts w:eastAsia="標楷體"/>
                <w:b/>
                <w:color w:val="000000"/>
              </w:rPr>
              <w:t>：</w:t>
            </w:r>
            <w:r w:rsidRPr="00040B90">
              <w:rPr>
                <w:rFonts w:eastAsia="標楷體"/>
                <w:color w:val="000000"/>
              </w:rPr>
              <w:t>一年至多核給</w:t>
            </w:r>
            <w:r w:rsidRPr="00040B90">
              <w:rPr>
                <w:rFonts w:eastAsia="標楷體"/>
                <w:color w:val="000000"/>
              </w:rPr>
              <w:t>2</w:t>
            </w:r>
            <w:r w:rsidRPr="00040B90">
              <w:rPr>
                <w:rFonts w:eastAsia="標楷體"/>
                <w:color w:val="000000"/>
              </w:rPr>
              <w:t>點，本項加給點數上限為</w:t>
            </w:r>
            <w:r w:rsidRPr="00040B90">
              <w:rPr>
                <w:rFonts w:eastAsia="標楷體"/>
                <w:color w:val="000000"/>
              </w:rPr>
              <w:t>10</w:t>
            </w:r>
            <w:r w:rsidRPr="00040B90">
              <w:rPr>
                <w:rFonts w:eastAsia="標楷體"/>
                <w:color w:val="000000"/>
              </w:rPr>
              <w:t>點。</w:t>
            </w:r>
          </w:p>
          <w:p w:rsidR="00E837D5" w:rsidRPr="00040B90" w:rsidRDefault="00E837D5" w:rsidP="009E1FB1">
            <w:pPr>
              <w:pStyle w:val="TableParagraph"/>
              <w:kinsoku w:val="0"/>
              <w:overflowPunct w:val="0"/>
              <w:snapToGrid w:val="0"/>
              <w:ind w:left="288" w:hangingChars="120" w:hanging="288"/>
              <w:jc w:val="both"/>
              <w:rPr>
                <w:rFonts w:eastAsia="標楷體"/>
                <w:color w:val="000000"/>
              </w:rPr>
            </w:pPr>
            <w:r w:rsidRPr="00040B90">
              <w:rPr>
                <w:rFonts w:eastAsia="標楷體"/>
                <w:color w:val="000000"/>
              </w:rPr>
              <w:t>2.</w:t>
            </w:r>
            <w:r w:rsidRPr="00040B90">
              <w:rPr>
                <w:rFonts w:eastAsia="標楷體"/>
                <w:color w:val="000000"/>
              </w:rPr>
              <w:t>專業加給點數</w:t>
            </w:r>
            <w:r w:rsidRPr="00040B90">
              <w:rPr>
                <w:rFonts w:eastAsia="標楷體"/>
                <w:b/>
                <w:color w:val="000000"/>
              </w:rPr>
              <w:t>：</w:t>
            </w:r>
            <w:r w:rsidRPr="00040B90">
              <w:rPr>
                <w:rFonts w:eastAsia="標楷體"/>
                <w:color w:val="000000"/>
                <w:kern w:val="2"/>
              </w:rPr>
              <w:t>博士</w:t>
            </w:r>
            <w:r w:rsidRPr="00EC52BB">
              <w:rPr>
                <w:rFonts w:eastAsia="標楷體"/>
                <w:color w:val="000000" w:themeColor="text1"/>
              </w:rPr>
              <w:t>級研究</w:t>
            </w:r>
            <w:r w:rsidRPr="00040B90">
              <w:rPr>
                <w:rFonts w:eastAsia="標楷體"/>
                <w:color w:val="000000"/>
                <w:kern w:val="2"/>
              </w:rPr>
              <w:t>人員加給點數</w:t>
            </w:r>
            <w:r w:rsidRPr="00040B90">
              <w:rPr>
                <w:rFonts w:eastAsia="標楷體"/>
                <w:color w:val="000000"/>
              </w:rPr>
              <w:t>上限為</w:t>
            </w:r>
            <w:r w:rsidRPr="00040B90">
              <w:rPr>
                <w:rFonts w:eastAsia="標楷體"/>
                <w:color w:val="000000"/>
              </w:rPr>
              <w:t>30</w:t>
            </w:r>
            <w:r w:rsidRPr="00040B90">
              <w:rPr>
                <w:rFonts w:eastAsia="標楷體"/>
                <w:color w:val="000000"/>
              </w:rPr>
              <w:t>點，其他人員</w:t>
            </w:r>
            <w:r w:rsidRPr="00040B90">
              <w:rPr>
                <w:rFonts w:eastAsia="標楷體"/>
                <w:color w:val="000000"/>
                <w:kern w:val="2"/>
              </w:rPr>
              <w:t>加給點數</w:t>
            </w:r>
            <w:r w:rsidRPr="00040B90">
              <w:rPr>
                <w:rFonts w:eastAsia="標楷體"/>
                <w:color w:val="000000"/>
              </w:rPr>
              <w:t>上限為</w:t>
            </w:r>
            <w:r w:rsidRPr="00040B90">
              <w:rPr>
                <w:rFonts w:eastAsia="標楷體"/>
                <w:color w:val="000000"/>
              </w:rPr>
              <w:t>10</w:t>
            </w:r>
            <w:r w:rsidRPr="00040B90">
              <w:rPr>
                <w:rFonts w:eastAsia="標楷體"/>
                <w:color w:val="000000"/>
              </w:rPr>
              <w:t>點。</w:t>
            </w:r>
          </w:p>
          <w:p w:rsidR="00E837D5" w:rsidRPr="00040B90" w:rsidRDefault="00E837D5" w:rsidP="009E1FB1">
            <w:pPr>
              <w:pStyle w:val="TableParagraph"/>
              <w:kinsoku w:val="0"/>
              <w:overflowPunct w:val="0"/>
              <w:snapToGrid w:val="0"/>
              <w:ind w:left="288" w:hangingChars="120" w:hanging="288"/>
              <w:jc w:val="both"/>
              <w:rPr>
                <w:rFonts w:eastAsia="標楷體"/>
                <w:color w:val="000000"/>
              </w:rPr>
            </w:pPr>
            <w:r w:rsidRPr="00040B90">
              <w:rPr>
                <w:rFonts w:eastAsia="標楷體"/>
                <w:color w:val="000000"/>
              </w:rPr>
              <w:t>3.</w:t>
            </w:r>
            <w:r w:rsidRPr="00040B90">
              <w:rPr>
                <w:rFonts w:eastAsia="標楷體"/>
                <w:color w:val="000000"/>
              </w:rPr>
              <w:t>每一</w:t>
            </w:r>
            <w:r w:rsidRPr="00040B90">
              <w:rPr>
                <w:rFonts w:eastAsia="標楷體"/>
                <w:color w:val="000000"/>
                <w:spacing w:val="-1"/>
              </w:rPr>
              <w:t>加給點數</w:t>
            </w:r>
            <w:r w:rsidRPr="00040B90">
              <w:rPr>
                <w:rFonts w:eastAsia="標楷體"/>
                <w:color w:val="000000"/>
              </w:rPr>
              <w:t>為</w:t>
            </w:r>
            <w:r w:rsidRPr="00040B90">
              <w:rPr>
                <w:rFonts w:eastAsia="標楷體"/>
                <w:color w:val="000000"/>
              </w:rPr>
              <w:t>500</w:t>
            </w:r>
            <w:r w:rsidRPr="00040B90">
              <w:rPr>
                <w:rFonts w:eastAsia="標楷體"/>
                <w:color w:val="000000"/>
              </w:rPr>
              <w:t>元。</w:t>
            </w:r>
          </w:p>
        </w:tc>
      </w:tr>
    </w:tbl>
    <w:p w:rsidR="00E837D5" w:rsidRPr="00040B90" w:rsidRDefault="00E837D5" w:rsidP="00E837D5">
      <w:pPr>
        <w:pStyle w:val="a3"/>
        <w:kinsoku w:val="0"/>
        <w:overflowPunct w:val="0"/>
        <w:snapToGrid w:val="0"/>
        <w:spacing w:after="0"/>
        <w:ind w:left="490" w:hangingChars="204" w:hanging="490"/>
        <w:jc w:val="both"/>
        <w:rPr>
          <w:rFonts w:eastAsia="標楷體"/>
          <w:color w:val="000000"/>
        </w:rPr>
      </w:pPr>
      <w:r w:rsidRPr="00040B90">
        <w:rPr>
          <w:rFonts w:eastAsia="標楷體"/>
          <w:color w:val="000000"/>
        </w:rPr>
        <w:t>三、專任人員聘僱滿</w:t>
      </w:r>
      <w:proofErr w:type="gramStart"/>
      <w:r w:rsidRPr="00040B90">
        <w:rPr>
          <w:rFonts w:eastAsia="標楷體"/>
          <w:color w:val="000000"/>
        </w:rPr>
        <w:t>一</w:t>
      </w:r>
      <w:proofErr w:type="gramEnd"/>
      <w:r w:rsidRPr="00040B90">
        <w:rPr>
          <w:rFonts w:eastAsia="標楷體"/>
          <w:color w:val="000000"/>
        </w:rPr>
        <w:t>年後，續聘月酬金為前一年工作月酬金加計「</w:t>
      </w:r>
      <w:r w:rsidRPr="00040B90">
        <w:rPr>
          <w:rFonts w:eastAsia="標楷體"/>
          <w:b/>
          <w:color w:val="000000"/>
        </w:rPr>
        <w:t>晉支薪資</w:t>
      </w:r>
      <w:r w:rsidRPr="00040B90">
        <w:rPr>
          <w:rFonts w:eastAsia="標楷體"/>
          <w:color w:val="000000"/>
        </w:rPr>
        <w:t>」，得由計畫主持人依聘僱人員前一年之績效自訂「晉支點數」，每一晉支點數為</w:t>
      </w:r>
      <w:r w:rsidRPr="00040B90">
        <w:rPr>
          <w:rFonts w:eastAsia="標楷體"/>
          <w:color w:val="000000"/>
        </w:rPr>
        <w:t>500</w:t>
      </w:r>
      <w:r w:rsidRPr="00040B90">
        <w:rPr>
          <w:rFonts w:eastAsia="標楷體"/>
          <w:color w:val="000000"/>
        </w:rPr>
        <w:t>元；博士</w:t>
      </w:r>
      <w:r w:rsidRPr="00EC52BB">
        <w:rPr>
          <w:rFonts w:eastAsia="標楷體"/>
          <w:color w:val="000000" w:themeColor="text1"/>
          <w:kern w:val="0"/>
          <w:lang w:val="en-US" w:eastAsia="zh-TW"/>
        </w:rPr>
        <w:t>級</w:t>
      </w:r>
      <w:r w:rsidRPr="00040B90">
        <w:rPr>
          <w:rFonts w:eastAsia="標楷體"/>
          <w:color w:val="000000"/>
        </w:rPr>
        <w:t>研究人員「晉支點數」超過</w:t>
      </w:r>
      <w:r w:rsidRPr="00040B90">
        <w:rPr>
          <w:rFonts w:eastAsia="標楷體"/>
          <w:color w:val="000000"/>
        </w:rPr>
        <w:t>10</w:t>
      </w:r>
      <w:r w:rsidRPr="00040B90">
        <w:rPr>
          <w:rFonts w:eastAsia="標楷體"/>
          <w:color w:val="000000"/>
        </w:rPr>
        <w:t>點、其他人員「晉支點數」超過</w:t>
      </w:r>
      <w:r w:rsidRPr="00040B90">
        <w:rPr>
          <w:rFonts w:eastAsia="標楷體"/>
          <w:color w:val="000000"/>
        </w:rPr>
        <w:t>5</w:t>
      </w:r>
      <w:r w:rsidRPr="00040B90">
        <w:rPr>
          <w:rFonts w:eastAsia="標楷體"/>
          <w:color w:val="000000"/>
        </w:rPr>
        <w:t>點，由計畫主持人敘明具體理由簽請核准後始得核發，惟應由計畫內經費支應。</w:t>
      </w:r>
    </w:p>
    <w:p w:rsidR="00E837D5" w:rsidRPr="00040B90" w:rsidRDefault="00E837D5" w:rsidP="00E837D5">
      <w:pPr>
        <w:pStyle w:val="a3"/>
        <w:kinsoku w:val="0"/>
        <w:overflowPunct w:val="0"/>
        <w:snapToGrid w:val="0"/>
        <w:spacing w:after="0"/>
        <w:ind w:left="490" w:hangingChars="204" w:hanging="490"/>
        <w:jc w:val="both"/>
        <w:rPr>
          <w:rFonts w:eastAsia="標楷體"/>
          <w:color w:val="000000"/>
        </w:rPr>
      </w:pPr>
      <w:r w:rsidRPr="00040B90">
        <w:rPr>
          <w:rFonts w:eastAsia="標楷體"/>
          <w:color w:val="000000"/>
        </w:rPr>
        <w:t>四、專任人員聘期以一年一聘為原則，但計畫期限在一年以內者，應按實際所需時間聘僱。如因計畫持續需要，得續聘至計畫執行期限結束時止。工作酬金應按月支給，如有未滿一個月者，按實際在職日覈實計之；其每日計發金額，以當月全月工作酬金總數除以該月全月日數。</w:t>
      </w:r>
    </w:p>
    <w:p w:rsidR="00E837D5" w:rsidRPr="00040B90" w:rsidRDefault="00E837D5" w:rsidP="00E837D5">
      <w:pPr>
        <w:pStyle w:val="a3"/>
        <w:kinsoku w:val="0"/>
        <w:overflowPunct w:val="0"/>
        <w:snapToGrid w:val="0"/>
        <w:spacing w:after="0"/>
        <w:ind w:left="490" w:hangingChars="204" w:hanging="490"/>
        <w:jc w:val="both"/>
        <w:rPr>
          <w:rFonts w:eastAsia="標楷體"/>
          <w:color w:val="000000"/>
        </w:rPr>
      </w:pPr>
      <w:r w:rsidRPr="00040B90">
        <w:rPr>
          <w:rFonts w:eastAsia="標楷體"/>
          <w:color w:val="000000"/>
        </w:rPr>
        <w:t>五、專任人員工作酬金得核列至多</w:t>
      </w:r>
      <w:r w:rsidRPr="00040B90">
        <w:rPr>
          <w:rFonts w:eastAsia="標楷體"/>
          <w:color w:val="000000"/>
        </w:rPr>
        <w:t>1.5</w:t>
      </w:r>
      <w:r w:rsidRPr="00040B90">
        <w:rPr>
          <w:rFonts w:eastAsia="標楷體"/>
          <w:color w:val="000000"/>
        </w:rPr>
        <w:t>個月薪酬之年終工作獎金。擔任科技部不同計畫項下專任人員，當年度十二月一日仍在職者，不論其在職月份是否銜接，得依當年實際在職月數合併計算後，按比例發給。</w:t>
      </w:r>
    </w:p>
    <w:p w:rsidR="00E837D5" w:rsidRPr="00EC52BB" w:rsidRDefault="00E837D5" w:rsidP="00E837D5">
      <w:pPr>
        <w:pStyle w:val="a3"/>
        <w:kinsoku w:val="0"/>
        <w:overflowPunct w:val="0"/>
        <w:snapToGrid w:val="0"/>
        <w:spacing w:after="0"/>
        <w:ind w:left="490" w:hangingChars="204" w:hanging="490"/>
        <w:jc w:val="both"/>
        <w:rPr>
          <w:rFonts w:eastAsia="標楷體"/>
          <w:color w:val="000000" w:themeColor="text1"/>
        </w:rPr>
      </w:pPr>
      <w:r w:rsidRPr="00EC52BB">
        <w:rPr>
          <w:rFonts w:eastAsia="標楷體"/>
          <w:color w:val="000000" w:themeColor="text1"/>
        </w:rPr>
        <w:t>六、依勞工保險條例、全民健康保險法及勞工退休金條例之規定，應辦理專任人員之勞工保險、全民健康保險及勞工退休金，前開有關雇主應負擔費用由計畫內經費支應。</w:t>
      </w:r>
    </w:p>
    <w:p w:rsidR="00E837D5" w:rsidRPr="00EC52BB" w:rsidRDefault="00E837D5" w:rsidP="00E837D5">
      <w:pPr>
        <w:pStyle w:val="a3"/>
        <w:kinsoku w:val="0"/>
        <w:overflowPunct w:val="0"/>
        <w:snapToGrid w:val="0"/>
        <w:spacing w:after="0"/>
        <w:ind w:left="490" w:hangingChars="204" w:hanging="490"/>
        <w:jc w:val="both"/>
        <w:rPr>
          <w:rFonts w:eastAsia="標楷體"/>
          <w:color w:val="000000" w:themeColor="text1"/>
        </w:rPr>
      </w:pPr>
      <w:proofErr w:type="spellStart"/>
      <w:r w:rsidRPr="00EC52BB">
        <w:rPr>
          <w:rFonts w:eastAsia="標楷體"/>
          <w:color w:val="000000" w:themeColor="text1"/>
        </w:rPr>
        <w:t>七、依據「科技部補助專題研究計畫</w:t>
      </w:r>
      <w:r w:rsidRPr="00EC52BB">
        <w:rPr>
          <w:rFonts w:eastAsia="標楷體"/>
          <w:color w:val="000000" w:themeColor="text1"/>
          <w:kern w:val="0"/>
          <w:lang w:val="en-US" w:eastAsia="zh-TW"/>
        </w:rPr>
        <w:t>研究人力約用注意</w:t>
      </w:r>
      <w:proofErr w:type="spellEnd"/>
      <w:r w:rsidRPr="00EC52BB">
        <w:rPr>
          <w:rFonts w:eastAsia="標楷體"/>
          <w:color w:val="000000" w:themeColor="text1"/>
        </w:rPr>
        <w:t>事項」第</w:t>
      </w:r>
      <w:r w:rsidRPr="00EC52BB">
        <w:rPr>
          <w:rFonts w:eastAsia="標楷體"/>
          <w:color w:val="000000" w:themeColor="text1"/>
        </w:rPr>
        <w:t>8</w:t>
      </w:r>
      <w:r w:rsidRPr="00EC52BB">
        <w:rPr>
          <w:rFonts w:eastAsia="標楷體"/>
          <w:color w:val="000000" w:themeColor="text1"/>
        </w:rPr>
        <w:t>點之規定，應迴避進用計畫主持人及共同主持人之配偶或三親等以內血親及姻親為</w:t>
      </w:r>
      <w:r w:rsidRPr="00EC52BB">
        <w:rPr>
          <w:rFonts w:eastAsia="標楷體"/>
          <w:color w:val="000000" w:themeColor="text1"/>
          <w:lang w:eastAsia="zh-TW"/>
        </w:rPr>
        <w:t>研究人力</w:t>
      </w:r>
      <w:r w:rsidRPr="00EC52BB">
        <w:rPr>
          <w:rFonts w:eastAsia="標楷體"/>
          <w:color w:val="000000" w:themeColor="text1"/>
        </w:rPr>
        <w:t>，</w:t>
      </w:r>
      <w:proofErr w:type="spellStart"/>
      <w:r w:rsidRPr="00EC52BB">
        <w:rPr>
          <w:rFonts w:eastAsia="標楷體"/>
          <w:color w:val="000000" w:themeColor="text1"/>
        </w:rPr>
        <w:t>受聘僱人員</w:t>
      </w:r>
      <w:r w:rsidRPr="00EC52BB">
        <w:rPr>
          <w:rFonts w:eastAsia="標楷體"/>
          <w:color w:val="000000" w:themeColor="text1"/>
          <w:lang w:eastAsia="zh-TW"/>
        </w:rPr>
        <w:t>另依</w:t>
      </w:r>
      <w:r w:rsidRPr="00EC52BB">
        <w:rPr>
          <w:rFonts w:eastAsia="標楷體"/>
          <w:color w:val="000000" w:themeColor="text1"/>
        </w:rPr>
        <w:t>本校「計畫專任約聘人員僱用契約」</w:t>
      </w:r>
      <w:r w:rsidRPr="00EC52BB">
        <w:rPr>
          <w:rFonts w:eastAsia="標楷體"/>
          <w:color w:val="000000" w:themeColor="text1"/>
          <w:lang w:eastAsia="zh-TW"/>
        </w:rPr>
        <w:t>載明</w:t>
      </w:r>
      <w:proofErr w:type="spellEnd"/>
      <w:r w:rsidRPr="00EC52BB">
        <w:rPr>
          <w:rFonts w:eastAsia="標楷體"/>
          <w:color w:val="000000" w:themeColor="text1"/>
        </w:rPr>
        <w:t>辦理。且依教育部「</w:t>
      </w:r>
      <w:hyperlink r:id="rId4" w:history="1">
        <w:r w:rsidRPr="00EC52BB">
          <w:rPr>
            <w:rFonts w:eastAsia="標楷體"/>
            <w:color w:val="000000" w:themeColor="text1"/>
          </w:rPr>
          <w:t>大陸地區人民來臺就讀專科以上學校辦法</w:t>
        </w:r>
      </w:hyperlink>
      <w:r w:rsidRPr="00EC52BB">
        <w:rPr>
          <w:rFonts w:eastAsia="標楷體"/>
          <w:color w:val="000000" w:themeColor="text1"/>
        </w:rPr>
        <w:t>」第</w:t>
      </w:r>
      <w:r w:rsidRPr="00EC52BB">
        <w:rPr>
          <w:rFonts w:eastAsia="標楷體"/>
          <w:color w:val="000000" w:themeColor="text1"/>
        </w:rPr>
        <w:t>15</w:t>
      </w:r>
      <w:r w:rsidRPr="00EC52BB">
        <w:rPr>
          <w:rFonts w:eastAsia="標楷體"/>
          <w:color w:val="000000" w:themeColor="text1"/>
        </w:rPr>
        <w:t>條及第</w:t>
      </w:r>
      <w:r w:rsidRPr="00EC52BB">
        <w:rPr>
          <w:rFonts w:eastAsia="標楷體"/>
          <w:color w:val="000000" w:themeColor="text1"/>
        </w:rPr>
        <w:t>18</w:t>
      </w:r>
      <w:r w:rsidRPr="00EC52BB">
        <w:rPr>
          <w:rFonts w:eastAsia="標楷體"/>
          <w:color w:val="000000" w:themeColor="text1"/>
        </w:rPr>
        <w:t>條規定，大陸地區學生在臺就學期間，不得從事專職或兼職之工作。</w:t>
      </w:r>
    </w:p>
    <w:p w:rsidR="00E837D5" w:rsidRPr="00EC52BB" w:rsidRDefault="00E837D5" w:rsidP="00E837D5">
      <w:pPr>
        <w:pStyle w:val="a3"/>
        <w:kinsoku w:val="0"/>
        <w:overflowPunct w:val="0"/>
        <w:snapToGrid w:val="0"/>
        <w:spacing w:after="0"/>
        <w:ind w:left="490" w:hangingChars="204" w:hanging="490"/>
        <w:jc w:val="both"/>
        <w:rPr>
          <w:rFonts w:eastAsia="標楷體"/>
          <w:color w:val="000000" w:themeColor="text1"/>
        </w:rPr>
      </w:pPr>
      <w:r w:rsidRPr="00EC52BB">
        <w:rPr>
          <w:rFonts w:eastAsia="標楷體"/>
          <w:color w:val="000000" w:themeColor="text1"/>
        </w:rPr>
        <w:t>八、</w:t>
      </w:r>
      <w:r w:rsidRPr="00EC52BB">
        <w:rPr>
          <w:rFonts w:eastAsia="標楷體"/>
          <w:color w:val="000000" w:themeColor="text1"/>
          <w:spacing w:val="-1"/>
        </w:rPr>
        <w:t>「</w:t>
      </w:r>
      <w:proofErr w:type="spellStart"/>
      <w:r w:rsidRPr="00EC52BB">
        <w:rPr>
          <w:rFonts w:eastAsia="標楷體"/>
          <w:color w:val="000000" w:themeColor="text1"/>
          <w:spacing w:val="-1"/>
        </w:rPr>
        <w:t>基本薪資」</w:t>
      </w:r>
      <w:r w:rsidRPr="00EC52BB">
        <w:rPr>
          <w:rFonts w:eastAsia="標楷體"/>
          <w:color w:val="000000" w:themeColor="text1"/>
        </w:rPr>
        <w:t>之調整得參考軍公教人員調薪幅度，簽核後予以調整</w:t>
      </w:r>
      <w:proofErr w:type="spellEnd"/>
      <w:r w:rsidRPr="00EC52BB">
        <w:rPr>
          <w:rFonts w:eastAsia="標楷體"/>
          <w:color w:val="000000" w:themeColor="text1"/>
        </w:rPr>
        <w:t>。</w:t>
      </w:r>
    </w:p>
    <w:p w:rsidR="00E837D5" w:rsidRPr="00EC52BB" w:rsidRDefault="00E837D5" w:rsidP="00E837D5">
      <w:pPr>
        <w:pStyle w:val="a3"/>
        <w:kinsoku w:val="0"/>
        <w:overflowPunct w:val="0"/>
        <w:snapToGrid w:val="0"/>
        <w:spacing w:beforeLines="50" w:before="180"/>
        <w:ind w:left="490" w:hangingChars="204" w:hanging="490"/>
        <w:jc w:val="both"/>
        <w:rPr>
          <w:rFonts w:eastAsia="標楷體"/>
          <w:color w:val="000000" w:themeColor="text1"/>
        </w:rPr>
      </w:pPr>
      <w:r w:rsidRPr="00EC52BB">
        <w:rPr>
          <w:rFonts w:eastAsia="標楷體"/>
          <w:color w:val="000000" w:themeColor="text1"/>
          <w:lang w:eastAsia="zh-TW"/>
        </w:rPr>
        <w:t>九、本原則如有未盡事宜，悉依本校相關規定辦理。</w:t>
      </w:r>
    </w:p>
    <w:p w:rsidR="00E837D5" w:rsidRPr="00EC52BB" w:rsidRDefault="00E837D5" w:rsidP="00E837D5">
      <w:pPr>
        <w:pStyle w:val="a3"/>
        <w:kinsoku w:val="0"/>
        <w:overflowPunct w:val="0"/>
        <w:snapToGrid w:val="0"/>
        <w:spacing w:after="0"/>
        <w:ind w:left="490" w:hangingChars="204" w:hanging="490"/>
        <w:jc w:val="both"/>
        <w:rPr>
          <w:rFonts w:eastAsia="標楷體"/>
          <w:color w:val="000000" w:themeColor="text1"/>
          <w:sz w:val="28"/>
          <w:szCs w:val="28"/>
        </w:rPr>
      </w:pPr>
      <w:r w:rsidRPr="00EC52BB">
        <w:rPr>
          <w:rFonts w:eastAsia="標楷體"/>
          <w:color w:val="000000" w:themeColor="text1"/>
          <w:lang w:eastAsia="zh-TW"/>
        </w:rPr>
        <w:t>十</w:t>
      </w:r>
      <w:r w:rsidRPr="00EC52BB">
        <w:rPr>
          <w:rFonts w:eastAsia="標楷體"/>
          <w:color w:val="000000" w:themeColor="text1"/>
        </w:rPr>
        <w:t>、</w:t>
      </w:r>
      <w:proofErr w:type="spellStart"/>
      <w:r w:rsidRPr="00EC52BB">
        <w:rPr>
          <w:rFonts w:eastAsia="標楷體"/>
          <w:color w:val="000000" w:themeColor="text1"/>
        </w:rPr>
        <w:t>本原則經行政會議通過，陳請校長核定後公布施行，修正時亦同</w:t>
      </w:r>
      <w:proofErr w:type="spellEnd"/>
      <w:r w:rsidRPr="00EC52BB">
        <w:rPr>
          <w:rFonts w:eastAsia="標楷體"/>
          <w:color w:val="000000" w:themeColor="text1"/>
        </w:rPr>
        <w:t>。</w:t>
      </w:r>
    </w:p>
    <w:p w:rsidR="007E08EB" w:rsidRPr="00E837D5" w:rsidRDefault="007E08EB">
      <w:pPr>
        <w:rPr>
          <w:lang w:val="x-none"/>
        </w:rPr>
      </w:pPr>
    </w:p>
    <w:sectPr w:rsidR="007E08EB" w:rsidRPr="00E837D5" w:rsidSect="00E837D5">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7D5"/>
    <w:rsid w:val="003E4EC1"/>
    <w:rsid w:val="007E08EB"/>
    <w:rsid w:val="00896D06"/>
    <w:rsid w:val="00E837D5"/>
    <w:rsid w:val="00EC52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312D46-392F-4441-B575-6506ABC3B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37D5"/>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837D5"/>
    <w:pPr>
      <w:spacing w:after="120"/>
    </w:pPr>
    <w:rPr>
      <w:rFonts w:ascii="Times New Roman" w:hAnsi="Times New Roman"/>
      <w:szCs w:val="24"/>
      <w:lang w:val="x-none" w:eastAsia="x-none"/>
    </w:rPr>
  </w:style>
  <w:style w:type="character" w:customStyle="1" w:styleId="a4">
    <w:name w:val="本文 字元"/>
    <w:basedOn w:val="a0"/>
    <w:link w:val="a3"/>
    <w:rsid w:val="00E837D5"/>
    <w:rPr>
      <w:rFonts w:ascii="Times New Roman" w:eastAsia="新細明體" w:hAnsi="Times New Roman" w:cs="Times New Roman"/>
      <w:szCs w:val="24"/>
      <w:lang w:val="x-none" w:eastAsia="x-none"/>
    </w:rPr>
  </w:style>
  <w:style w:type="paragraph" w:customStyle="1" w:styleId="TableParagraph">
    <w:name w:val="Table Paragraph"/>
    <w:basedOn w:val="a"/>
    <w:uiPriority w:val="1"/>
    <w:qFormat/>
    <w:rsid w:val="00E837D5"/>
    <w:pPr>
      <w:autoSpaceDE w:val="0"/>
      <w:autoSpaceDN w:val="0"/>
      <w:adjustRightInd w:val="0"/>
    </w:pPr>
    <w:rPr>
      <w:rFonts w:ascii="Times New Roman" w:hAnsi="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du.law.moe.gov.tw/LawContent.aspx?id=GL00047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1038</Characters>
  <Application>Microsoft Office Word</Application>
  <DocSecurity>0</DocSecurity>
  <Lines>8</Lines>
  <Paragraphs>2</Paragraphs>
  <ScaleCrop>false</ScaleCrop>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user</cp:lastModifiedBy>
  <cp:revision>2</cp:revision>
  <dcterms:created xsi:type="dcterms:W3CDTF">2021-10-26T14:28:00Z</dcterms:created>
  <dcterms:modified xsi:type="dcterms:W3CDTF">2021-10-26T14:28:00Z</dcterms:modified>
</cp:coreProperties>
</file>