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BC" w:rsidRPr="00792F18" w:rsidRDefault="003549BC" w:rsidP="003549B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color w:val="000000" w:themeColor="text1"/>
          <w:sz w:val="32"/>
        </w:rPr>
      </w:pPr>
      <w:bookmarkStart w:id="0" w:name="_Hlk169254881"/>
      <w:bookmarkStart w:id="1" w:name="_GoBack"/>
      <w:r w:rsidRPr="00792F18">
        <w:rPr>
          <w:rFonts w:ascii="Times New Roman" w:eastAsia="標楷體" w:hAnsi="Times New Roman"/>
          <w:b/>
          <w:color w:val="000000" w:themeColor="text1"/>
          <w:sz w:val="32"/>
        </w:rPr>
        <w:t>南臺科技大學導師制實施辦法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93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9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30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95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11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98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7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105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6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15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107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3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21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108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3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27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108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5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29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108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10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23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109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6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17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110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6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16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</w:rPr>
      </w:pPr>
      <w:r w:rsidRPr="00792F18">
        <w:rPr>
          <w:rFonts w:ascii="Times New Roman" w:eastAsia="標楷體" w:hAnsi="Times New Roman"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111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 w:hint="eastAsia"/>
          <w:color w:val="000000" w:themeColor="text1"/>
          <w:sz w:val="20"/>
        </w:rPr>
        <w:t>5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 w:cs="新細明體" w:hint="eastAsia"/>
          <w:color w:val="000000" w:themeColor="text1"/>
          <w:sz w:val="20"/>
          <w:szCs w:val="20"/>
        </w:rPr>
        <w:t>25</w:t>
      </w:r>
      <w:r w:rsidRPr="00792F18">
        <w:rPr>
          <w:rFonts w:ascii="Times New Roman" w:eastAsia="標楷體" w:hAnsi="Times New Roman"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 w:cs="Times New Roman"/>
          <w:bCs/>
          <w:color w:val="000000" w:themeColor="text1"/>
          <w:sz w:val="20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  <w:sz w:val="20"/>
        </w:rPr>
        <w:t>民國</w:t>
      </w:r>
      <w:r w:rsidRPr="00792F18">
        <w:rPr>
          <w:rFonts w:ascii="Times New Roman" w:eastAsia="標楷體" w:hAnsi="Times New Roman" w:cs="Times New Roman"/>
          <w:bCs/>
          <w:color w:val="000000" w:themeColor="text1"/>
          <w:sz w:val="20"/>
        </w:rPr>
        <w:t>113</w:t>
      </w:r>
      <w:r w:rsidRPr="00792F18">
        <w:rPr>
          <w:rFonts w:ascii="Times New Roman" w:eastAsia="標楷體" w:hAnsi="Times New Roman" w:cs="Times New Roman"/>
          <w:bCs/>
          <w:color w:val="000000" w:themeColor="text1"/>
          <w:sz w:val="20"/>
        </w:rPr>
        <w:t>年</w:t>
      </w:r>
      <w:r w:rsidRPr="00792F18">
        <w:rPr>
          <w:rFonts w:ascii="Times New Roman" w:eastAsia="標楷體" w:hAnsi="Times New Roman" w:cs="Times New Roman" w:hint="eastAsia"/>
          <w:bCs/>
          <w:color w:val="000000" w:themeColor="text1"/>
          <w:sz w:val="20"/>
        </w:rPr>
        <w:t>10</w:t>
      </w:r>
      <w:r w:rsidRPr="00792F18">
        <w:rPr>
          <w:rFonts w:ascii="Times New Roman" w:eastAsia="標楷體" w:hAnsi="Times New Roman" w:cs="Times New Roman"/>
          <w:bCs/>
          <w:color w:val="000000" w:themeColor="text1"/>
          <w:sz w:val="20"/>
        </w:rPr>
        <w:t>月</w:t>
      </w:r>
      <w:r w:rsidRPr="00792F18">
        <w:rPr>
          <w:rFonts w:ascii="Times New Roman" w:eastAsia="標楷體" w:hAnsi="Times New Roman" w:cs="Times New Roman" w:hint="eastAsia"/>
          <w:bCs/>
          <w:color w:val="000000" w:themeColor="text1"/>
          <w:sz w:val="20"/>
        </w:rPr>
        <w:t>30</w:t>
      </w:r>
      <w:r w:rsidRPr="00792F18">
        <w:rPr>
          <w:rFonts w:ascii="Times New Roman" w:eastAsia="標楷體" w:hAnsi="Times New Roman" w:cs="Times New Roman"/>
          <w:bCs/>
          <w:color w:val="000000" w:themeColor="text1"/>
          <w:sz w:val="20"/>
        </w:rPr>
        <w:t>日校務會議修正通過</w:t>
      </w:r>
    </w:p>
    <w:p w:rsidR="003549BC" w:rsidRPr="00792F18" w:rsidRDefault="003549BC" w:rsidP="003549BC">
      <w:pPr>
        <w:spacing w:line="240" w:lineRule="exact"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</w:rPr>
      </w:pPr>
    </w:p>
    <w:p w:rsidR="003549BC" w:rsidRPr="00792F18" w:rsidRDefault="003549BC" w:rsidP="003549BC">
      <w:pPr>
        <w:widowControl/>
        <w:numPr>
          <w:ilvl w:val="0"/>
          <w:numId w:val="1"/>
        </w:numPr>
        <w:spacing w:line="320" w:lineRule="exact"/>
        <w:ind w:leftChars="1" w:left="991" w:hangingChars="412" w:hanging="989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南臺科技大學（以下簡稱本校）為有效推動導師輔導學生適性發展，並培養其健全人格，依教師法及學生輔導法訂定本辦法。</w:t>
      </w:r>
    </w:p>
    <w:p w:rsidR="003549BC" w:rsidRPr="00792F18" w:rsidRDefault="003549BC" w:rsidP="003549BC">
      <w:pPr>
        <w:widowControl/>
        <w:numPr>
          <w:ilvl w:val="0"/>
          <w:numId w:val="1"/>
        </w:numPr>
        <w:spacing w:line="320" w:lineRule="exact"/>
        <w:ind w:left="993" w:hanging="99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本校導師制之推動與評鑑，由學生事務處負責。</w:t>
      </w:r>
    </w:p>
    <w:p w:rsidR="003549BC" w:rsidRPr="00792F18" w:rsidRDefault="003549BC" w:rsidP="003549BC">
      <w:pPr>
        <w:widowControl/>
        <w:numPr>
          <w:ilvl w:val="0"/>
          <w:numId w:val="1"/>
        </w:numPr>
        <w:spacing w:line="320" w:lineRule="exact"/>
        <w:ind w:left="993" w:hanging="99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本校專任教師均有擔任導師之義務，並須參加導師輔導知能研習課程。導師依任務區分為校總導師、校副總導師、院主任導師、院副主任導師、系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</w:rPr>
        <w:t>、所、學程主任導師及班級導師。</w:t>
      </w:r>
    </w:p>
    <w:p w:rsidR="003549BC" w:rsidRPr="00792F18" w:rsidRDefault="003549BC" w:rsidP="003549BC">
      <w:pPr>
        <w:widowControl/>
        <w:numPr>
          <w:ilvl w:val="0"/>
          <w:numId w:val="1"/>
        </w:numPr>
        <w:spacing w:line="320" w:lineRule="exact"/>
        <w:ind w:left="993" w:hanging="99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導師聘任資格：</w:t>
      </w:r>
    </w:p>
    <w:p w:rsidR="003549BC" w:rsidRPr="00792F18" w:rsidRDefault="003549BC" w:rsidP="003549BC">
      <w:pPr>
        <w:widowControl/>
        <w:spacing w:line="320" w:lineRule="exact"/>
        <w:ind w:leftChars="413" w:left="9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一、校總導師：由校長兼任。</w:t>
      </w:r>
    </w:p>
    <w:p w:rsidR="003549BC" w:rsidRPr="00792F18" w:rsidRDefault="003549BC" w:rsidP="003549BC">
      <w:pPr>
        <w:widowControl/>
        <w:spacing w:line="320" w:lineRule="exact"/>
        <w:ind w:leftChars="354" w:left="850" w:firstLineChars="59" w:firstLine="14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二、校副總導師：由副校長、學生事務長兼任。</w:t>
      </w:r>
    </w:p>
    <w:p w:rsidR="003549BC" w:rsidRPr="00792F18" w:rsidRDefault="003549BC" w:rsidP="003549BC">
      <w:pPr>
        <w:widowControl/>
        <w:spacing w:line="320" w:lineRule="exact"/>
        <w:ind w:leftChars="354" w:left="850" w:firstLineChars="59" w:firstLine="14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三、院主任導師、院副主任導師：由各學院院長、副院長兼任。</w:t>
      </w:r>
    </w:p>
    <w:p w:rsidR="003549BC" w:rsidRPr="00792F18" w:rsidRDefault="003549BC" w:rsidP="003549BC">
      <w:pPr>
        <w:widowControl/>
        <w:tabs>
          <w:tab w:val="left" w:pos="426"/>
        </w:tabs>
        <w:spacing w:line="320" w:lineRule="exact"/>
        <w:ind w:leftChars="354" w:left="850" w:firstLineChars="59" w:firstLine="14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四、系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</w:rPr>
        <w:t>、所、學程主任導師：由各系、學程主任、所長兼任。</w:t>
      </w:r>
    </w:p>
    <w:p w:rsidR="003549BC" w:rsidRPr="00792F18" w:rsidRDefault="003549BC" w:rsidP="003549BC">
      <w:pPr>
        <w:snapToGrid w:val="0"/>
        <w:ind w:leftChars="413" w:left="1313" w:hangingChars="134" w:hanging="322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五、班級導師：由各系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</w:rPr>
        <w:t>、學程、中心之講師以上專任教師擇優兼任。</w:t>
      </w:r>
    </w:p>
    <w:p w:rsidR="003549BC" w:rsidRPr="00792F18" w:rsidRDefault="003549BC" w:rsidP="003549BC">
      <w:pPr>
        <w:widowControl/>
        <w:spacing w:line="320" w:lineRule="exact"/>
        <w:ind w:leftChars="355" w:left="852" w:firstLine="139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六、一級行政主管不得擔任班級導師。</w:t>
      </w:r>
    </w:p>
    <w:p w:rsidR="003549BC" w:rsidRPr="00792F18" w:rsidRDefault="003549BC" w:rsidP="003549BC">
      <w:pPr>
        <w:widowControl/>
        <w:numPr>
          <w:ilvl w:val="0"/>
          <w:numId w:val="1"/>
        </w:numPr>
        <w:spacing w:line="320" w:lineRule="exact"/>
        <w:ind w:left="851" w:hanging="839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導師聘任方式與任期：</w:t>
      </w:r>
    </w:p>
    <w:p w:rsidR="003549BC" w:rsidRPr="00792F18" w:rsidRDefault="003549BC" w:rsidP="003549BC">
      <w:pPr>
        <w:widowControl/>
        <w:spacing w:line="320" w:lineRule="exact"/>
        <w:ind w:leftChars="362" w:left="1342" w:hangingChars="197" w:hanging="473"/>
        <w:jc w:val="both"/>
        <w:rPr>
          <w:rFonts w:ascii="Times New Roman" w:eastAsia="標楷體" w:hAnsi="Times New Roman" w:cs="Times New Roman"/>
          <w:color w:val="000000" w:themeColor="text1"/>
          <w:lang w:val="x-none" w:eastAsia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一、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校總導師、校副總導師之任期與校長、副校長、學生事務長任期同。</w:t>
      </w:r>
    </w:p>
    <w:p w:rsidR="003549BC" w:rsidRPr="00792F18" w:rsidRDefault="003549BC" w:rsidP="003549BC">
      <w:pPr>
        <w:widowControl/>
        <w:spacing w:line="320" w:lineRule="exact"/>
        <w:ind w:leftChars="362" w:left="1342" w:hangingChars="197" w:hanging="473"/>
        <w:jc w:val="both"/>
        <w:rPr>
          <w:rFonts w:ascii="Times New Roman" w:eastAsia="標楷體" w:hAnsi="Times New Roman" w:cs="Times New Roman"/>
          <w:color w:val="000000" w:themeColor="text1"/>
          <w:highlight w:val="yellow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二、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院、系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、</w:t>
      </w:r>
      <w:r w:rsidRPr="00792F18">
        <w:rPr>
          <w:rFonts w:ascii="Times New Roman" w:eastAsia="標楷體" w:hAnsi="Times New Roman" w:cs="Times New Roman"/>
          <w:color w:val="000000" w:themeColor="text1"/>
        </w:rPr>
        <w:t>所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、學程主任導師之任期與院長、副院長、系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主任、所長、學程主任任期同。</w:t>
      </w:r>
    </w:p>
    <w:p w:rsidR="003549BC" w:rsidRPr="00792F18" w:rsidRDefault="003549BC" w:rsidP="003549BC">
      <w:pPr>
        <w:widowControl/>
        <w:spacing w:line="320" w:lineRule="exact"/>
        <w:ind w:leftChars="362" w:left="1342" w:hangingChars="197" w:hanging="473"/>
        <w:jc w:val="both"/>
        <w:rPr>
          <w:rFonts w:ascii="Times New Roman" w:eastAsia="標楷體" w:hAnsi="Times New Roman" w:cs="Times New Roman"/>
          <w:color w:val="000000" w:themeColor="text1"/>
          <w:lang w:val="x-none" w:eastAsia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三、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班級導師之遴聘由各系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、所、中心、學位學程推薦，經院長核定後彙送學生事務處，簽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請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校長核定及聘任，任期一年，任滿得續聘之。</w:t>
      </w:r>
    </w:p>
    <w:p w:rsidR="003549BC" w:rsidRPr="00792F18" w:rsidRDefault="003549BC" w:rsidP="003549BC">
      <w:pPr>
        <w:widowControl/>
        <w:spacing w:line="320" w:lineRule="exact"/>
        <w:ind w:leftChars="362" w:left="1342" w:hangingChars="197" w:hanging="473"/>
        <w:jc w:val="both"/>
        <w:rPr>
          <w:rFonts w:ascii="Times New Roman" w:eastAsia="標楷體" w:hAnsi="Times New Roman" w:cs="Times New Roman"/>
          <w:color w:val="000000" w:themeColor="text1"/>
          <w:lang w:val="x-none" w:eastAsia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四、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導師因故於學期中無法繼續執行導師工作時，應由系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、</w:t>
      </w:r>
      <w:r w:rsidRPr="00792F18">
        <w:rPr>
          <w:rFonts w:ascii="Times New Roman" w:eastAsia="標楷體" w:hAnsi="Times New Roman" w:cs="Times New Roman"/>
          <w:color w:val="000000" w:themeColor="text1"/>
        </w:rPr>
        <w:t>所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、學程主任導師另行推薦，並送院主任導師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，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會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簽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學生事務處，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陳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請校長核定及聘任，其任期至原導師任期屆滿日為止。</w:t>
      </w:r>
    </w:p>
    <w:p w:rsidR="003549BC" w:rsidRPr="00792F18" w:rsidRDefault="003549BC" w:rsidP="003549BC">
      <w:pPr>
        <w:widowControl/>
        <w:numPr>
          <w:ilvl w:val="0"/>
          <w:numId w:val="1"/>
        </w:numPr>
        <w:spacing w:line="320" w:lineRule="exact"/>
        <w:ind w:left="839" w:hanging="839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各類導師之職責如下：</w:t>
      </w:r>
    </w:p>
    <w:p w:rsidR="003549BC" w:rsidRPr="00792F18" w:rsidRDefault="003549BC" w:rsidP="003549BC">
      <w:pPr>
        <w:widowControl/>
        <w:spacing w:line="320" w:lineRule="exact"/>
        <w:ind w:leftChars="362" w:left="1342" w:hangingChars="197" w:hanging="473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一、校總導師：</w:t>
      </w:r>
    </w:p>
    <w:p w:rsidR="003549BC" w:rsidRPr="00792F18" w:rsidRDefault="003549BC" w:rsidP="003549BC">
      <w:pPr>
        <w:widowControl/>
        <w:spacing w:line="320" w:lineRule="exact"/>
        <w:ind w:leftChars="559" w:left="1342" w:firstLine="2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一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聘任全校各類導師。</w:t>
      </w:r>
    </w:p>
    <w:p w:rsidR="003549BC" w:rsidRPr="00792F18" w:rsidRDefault="003549BC" w:rsidP="003549BC">
      <w:pPr>
        <w:widowControl/>
        <w:spacing w:line="320" w:lineRule="exact"/>
        <w:ind w:leftChars="559" w:left="1342" w:firstLine="2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二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督導及考核本校導師工作。</w:t>
      </w:r>
    </w:p>
    <w:p w:rsidR="003549BC" w:rsidRPr="00792F18" w:rsidRDefault="003549BC" w:rsidP="003549BC">
      <w:pPr>
        <w:widowControl/>
        <w:spacing w:line="320" w:lineRule="exact"/>
        <w:ind w:leftChars="559" w:left="1342" w:firstLine="2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三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主持導師輔導相關會議。</w:t>
      </w:r>
    </w:p>
    <w:p w:rsidR="003549BC" w:rsidRPr="00792F18" w:rsidRDefault="003549BC" w:rsidP="003549BC">
      <w:pPr>
        <w:widowControl/>
        <w:spacing w:line="320" w:lineRule="exact"/>
        <w:ind w:leftChars="362" w:left="1342" w:hangingChars="197" w:hanging="473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二、校副總導師：</w:t>
      </w:r>
    </w:p>
    <w:p w:rsidR="003549BC" w:rsidRPr="00792F18" w:rsidRDefault="003549BC" w:rsidP="003549BC">
      <w:pPr>
        <w:widowControl/>
        <w:spacing w:line="320" w:lineRule="exact"/>
        <w:ind w:leftChars="559" w:left="1342" w:firstLine="2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一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督導及考核本校導師工作。</w:t>
      </w:r>
    </w:p>
    <w:p w:rsidR="003549BC" w:rsidRPr="00792F18" w:rsidRDefault="003549BC" w:rsidP="003549BC">
      <w:pPr>
        <w:widowControl/>
        <w:spacing w:line="320" w:lineRule="exact"/>
        <w:ind w:leftChars="559" w:left="1342" w:firstLine="2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二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出席導師輔導相關會議。</w:t>
      </w:r>
    </w:p>
    <w:p w:rsidR="003549BC" w:rsidRPr="00792F18" w:rsidRDefault="003549BC" w:rsidP="003549BC">
      <w:pPr>
        <w:widowControl/>
        <w:spacing w:line="320" w:lineRule="exact"/>
        <w:ind w:leftChars="362" w:left="1342" w:hangingChars="197" w:hanging="473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三、院主任導師、院副主任導師：</w:t>
      </w:r>
    </w:p>
    <w:p w:rsidR="003549BC" w:rsidRPr="00792F18" w:rsidRDefault="003549BC" w:rsidP="003549BC">
      <w:pPr>
        <w:widowControl/>
        <w:spacing w:line="320" w:lineRule="exact"/>
        <w:ind w:leftChars="559" w:left="1342" w:firstLine="2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lastRenderedPageBreak/>
        <w:t>(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一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督導、協調及考核所屬學院導師工作成效。</w:t>
      </w:r>
    </w:p>
    <w:p w:rsidR="003549BC" w:rsidRPr="00792F18" w:rsidRDefault="003549BC" w:rsidP="003549BC">
      <w:pPr>
        <w:widowControl/>
        <w:spacing w:line="320" w:lineRule="exact"/>
        <w:ind w:leftChars="559" w:left="1342" w:firstLine="2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二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協助系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、</w:t>
      </w:r>
      <w:r w:rsidRPr="00792F18">
        <w:rPr>
          <w:rFonts w:ascii="Times New Roman" w:eastAsia="標楷體" w:hAnsi="Times New Roman" w:cs="Times New Roman"/>
          <w:color w:val="000000" w:themeColor="text1"/>
        </w:rPr>
        <w:t>所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、學程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主任導師處理學生危急與重大狀況。</w:t>
      </w:r>
    </w:p>
    <w:p w:rsidR="003549BC" w:rsidRPr="00792F18" w:rsidRDefault="003549BC" w:rsidP="003549BC">
      <w:pPr>
        <w:widowControl/>
        <w:spacing w:line="320" w:lineRule="exact"/>
        <w:ind w:leftChars="559" w:left="1342" w:firstLine="2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三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輔導經系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、</w:t>
      </w:r>
      <w:r w:rsidRPr="00792F18">
        <w:rPr>
          <w:rFonts w:ascii="Times New Roman" w:eastAsia="標楷體" w:hAnsi="Times New Roman" w:cs="Times New Roman"/>
          <w:color w:val="000000" w:themeColor="text1"/>
        </w:rPr>
        <w:t>所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、學程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主任導師轉介之學生個案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三級風險輔導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。</w:t>
      </w:r>
    </w:p>
    <w:p w:rsidR="003549BC" w:rsidRPr="00792F18" w:rsidRDefault="003549BC" w:rsidP="003549BC">
      <w:pPr>
        <w:widowControl/>
        <w:spacing w:line="320" w:lineRule="exact"/>
        <w:ind w:leftChars="559" w:left="1342" w:firstLine="2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四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出席導師輔導相關會議或研習。</w:t>
      </w:r>
    </w:p>
    <w:p w:rsidR="003549BC" w:rsidRPr="00792F18" w:rsidRDefault="003549BC" w:rsidP="003549BC">
      <w:pPr>
        <w:widowControl/>
        <w:spacing w:line="320" w:lineRule="exact"/>
        <w:ind w:leftChars="362" w:left="1342" w:hangingChars="197" w:hanging="473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四、系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、</w:t>
      </w:r>
      <w:r w:rsidRPr="00792F18">
        <w:rPr>
          <w:rFonts w:ascii="Times New Roman" w:eastAsia="標楷體" w:hAnsi="Times New Roman" w:cs="Times New Roman"/>
          <w:color w:val="000000" w:themeColor="text1"/>
        </w:rPr>
        <w:t>所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、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學程主任導師：</w:t>
      </w:r>
    </w:p>
    <w:p w:rsidR="003549BC" w:rsidRPr="00792F18" w:rsidRDefault="003549BC" w:rsidP="003549BC">
      <w:pPr>
        <w:snapToGrid w:val="0"/>
        <w:spacing w:line="240" w:lineRule="atLeast"/>
        <w:ind w:leftChars="567" w:left="1750" w:hangingChars="162" w:hanging="389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一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綜理及考核班級導師相關業務。</w:t>
      </w:r>
    </w:p>
    <w:p w:rsidR="003549BC" w:rsidRPr="00792F18" w:rsidRDefault="003549BC" w:rsidP="003549BC">
      <w:pPr>
        <w:snapToGrid w:val="0"/>
        <w:spacing w:line="240" w:lineRule="atLeast"/>
        <w:ind w:leftChars="567" w:left="1750" w:hangingChars="162" w:hanging="389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二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協助班級導師處理學生危急與重大狀況。</w:t>
      </w:r>
    </w:p>
    <w:p w:rsidR="003549BC" w:rsidRPr="00792F18" w:rsidRDefault="003549BC" w:rsidP="003549BC">
      <w:pPr>
        <w:snapToGrid w:val="0"/>
        <w:spacing w:line="240" w:lineRule="atLeast"/>
        <w:ind w:leftChars="567" w:left="1750" w:hangingChars="162" w:hanging="389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三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輔導經班級導師轉介之學生個案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二級風險輔導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。必要時，應轉介至院主任導師進行三級風險輔導。</w:t>
      </w:r>
    </w:p>
    <w:p w:rsidR="003549BC" w:rsidRPr="00792F18" w:rsidRDefault="003549BC" w:rsidP="003549BC">
      <w:pPr>
        <w:snapToGrid w:val="0"/>
        <w:spacing w:line="240" w:lineRule="atLeast"/>
        <w:ind w:leftChars="567" w:left="1750" w:hangingChars="162" w:hanging="389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四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出席導師輔導相關會議或研習。</w:t>
      </w:r>
    </w:p>
    <w:p w:rsidR="003549BC" w:rsidRPr="00792F18" w:rsidRDefault="003549BC" w:rsidP="003549BC">
      <w:pPr>
        <w:widowControl/>
        <w:spacing w:line="320" w:lineRule="exact"/>
        <w:ind w:leftChars="362" w:left="1342" w:hangingChars="197" w:hanging="473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五、日間部班級導師：</w:t>
      </w:r>
    </w:p>
    <w:p w:rsidR="003549BC" w:rsidRPr="00792F18" w:rsidRDefault="003549BC" w:rsidP="003549BC">
      <w:pPr>
        <w:snapToGrid w:val="0"/>
        <w:spacing w:line="240" w:lineRule="atLeast"/>
        <w:ind w:leftChars="589" w:left="1834" w:hangingChars="175" w:hanging="42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一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應透過各種途徑觀察及評估班級學生學習及生活情形，對需要特別關懷學生應實施一級風險輔導進行個別輔導及協助。必要時，應轉介至系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科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、</w:t>
      </w:r>
      <w:r w:rsidRPr="00792F18">
        <w:rPr>
          <w:rFonts w:ascii="Times New Roman" w:eastAsia="標楷體" w:hAnsi="Times New Roman" w:cs="Times New Roman"/>
          <w:color w:val="000000" w:themeColor="text1"/>
        </w:rPr>
        <w:t>所</w:t>
      </w:r>
      <w:r w:rsidRPr="00792F18">
        <w:rPr>
          <w:rFonts w:ascii="Times New Roman" w:eastAsia="標楷體" w:hAnsi="Times New Roman" w:cs="Times New Roman"/>
          <w:color w:val="000000" w:themeColor="text1"/>
          <w:lang w:val="x-none" w:eastAsia="x-none"/>
        </w:rPr>
        <w:t>、學程</w:t>
      </w: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主任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導師或學生事務處進行二級風險輔導。</w:t>
      </w:r>
    </w:p>
    <w:p w:rsidR="003549BC" w:rsidRPr="00792F18" w:rsidRDefault="003549BC" w:rsidP="003549BC">
      <w:pPr>
        <w:snapToGrid w:val="0"/>
        <w:spacing w:line="240" w:lineRule="atLeast"/>
        <w:ind w:leftChars="589" w:left="1834" w:hangingChars="175" w:hanging="42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二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導師時間實施班級團體輔導，內容除班級自治教育、學習與生活輔導外，須配合全校性規劃進行品德提昇、公民素養、生命關懷、性別平等教育、智慧財產等重要議題之輔導活動。</w:t>
      </w:r>
    </w:p>
    <w:p w:rsidR="003549BC" w:rsidRPr="00792F18" w:rsidRDefault="003549BC" w:rsidP="003549BC">
      <w:pPr>
        <w:snapToGrid w:val="0"/>
        <w:spacing w:line="240" w:lineRule="atLeast"/>
        <w:ind w:leftChars="589" w:left="1834" w:hangingChars="175" w:hanging="42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三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處理學生危急與重大狀況。</w:t>
      </w:r>
    </w:p>
    <w:p w:rsidR="003549BC" w:rsidRPr="00792F18" w:rsidRDefault="003549BC" w:rsidP="003549BC">
      <w:pPr>
        <w:snapToGrid w:val="0"/>
        <w:spacing w:line="240" w:lineRule="atLeast"/>
        <w:ind w:leftChars="589" w:left="1834" w:hangingChars="175" w:hanging="42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四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擔任大學部一、二年級導師，應特別關懷學生學習與生活適應狀況，預防休學及退學情形。</w:t>
      </w:r>
    </w:p>
    <w:p w:rsidR="003549BC" w:rsidRPr="00792F18" w:rsidRDefault="003549BC" w:rsidP="003549BC">
      <w:pPr>
        <w:snapToGrid w:val="0"/>
        <w:spacing w:line="240" w:lineRule="atLeast"/>
        <w:ind w:leftChars="589" w:left="1834" w:hangingChars="175" w:hanging="42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五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擔任大學部三、四年級導師，應特別關懷學生升學及職涯規劃，並給予適性輔導。</w:t>
      </w:r>
    </w:p>
    <w:p w:rsidR="003549BC" w:rsidRPr="00792F18" w:rsidRDefault="003549BC" w:rsidP="003549BC">
      <w:pPr>
        <w:snapToGrid w:val="0"/>
        <w:spacing w:line="240" w:lineRule="atLeast"/>
        <w:ind w:leftChars="589" w:left="1834" w:hangingChars="175" w:hanging="42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六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出席導師輔導相關會議或研習。</w:t>
      </w:r>
    </w:p>
    <w:p w:rsidR="003549BC" w:rsidRPr="00792F18" w:rsidRDefault="003549BC" w:rsidP="003549BC">
      <w:pPr>
        <w:widowControl/>
        <w:spacing w:line="320" w:lineRule="exact"/>
        <w:ind w:leftChars="362" w:left="1342" w:hangingChars="197" w:hanging="473"/>
        <w:jc w:val="both"/>
        <w:rPr>
          <w:rFonts w:ascii="Times New Roman" w:eastAsia="標楷體" w:hAnsi="Times New Roman" w:cs="Times New Roman"/>
          <w:color w:val="000000" w:themeColor="text1"/>
          <w:lang w:val="x-none"/>
        </w:rPr>
      </w:pPr>
      <w:r w:rsidRPr="00792F18">
        <w:rPr>
          <w:rFonts w:ascii="Times New Roman" w:eastAsia="標楷體" w:hAnsi="Times New Roman" w:cs="Times New Roman"/>
          <w:color w:val="000000" w:themeColor="text1"/>
          <w:lang w:val="x-none"/>
        </w:rPr>
        <w:t>六、進修部班級導師：</w:t>
      </w:r>
    </w:p>
    <w:p w:rsidR="003549BC" w:rsidRPr="00792F18" w:rsidRDefault="003549BC" w:rsidP="003549BC">
      <w:pPr>
        <w:widowControl/>
        <w:spacing w:line="320" w:lineRule="exact"/>
        <w:ind w:leftChars="588" w:left="1833" w:hangingChars="176" w:hanging="42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一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</w:rPr>
        <w:t>導師時間實施班級團體輔導，內容除班級自治教育、學習與生活輔導外，須配合全校性規劃進行品德提昇、公民素養、生命關懷、性別平等教育、智慧財產等重要議題之輔導活動。</w:t>
      </w:r>
    </w:p>
    <w:p w:rsidR="003549BC" w:rsidRPr="00792F18" w:rsidRDefault="003549BC" w:rsidP="003549BC">
      <w:pPr>
        <w:widowControl/>
        <w:spacing w:line="320" w:lineRule="exact"/>
        <w:ind w:leftChars="588" w:left="1975" w:hangingChars="235" w:hanging="56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二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</w:rPr>
        <w:t>處理學生危急與重大狀況。</w:t>
      </w:r>
    </w:p>
    <w:p w:rsidR="003549BC" w:rsidRPr="00792F18" w:rsidRDefault="003549BC" w:rsidP="003549BC">
      <w:pPr>
        <w:snapToGrid w:val="0"/>
        <w:spacing w:line="240" w:lineRule="atLeast"/>
        <w:ind w:leftChars="588" w:left="1812" w:hangingChars="167" w:hanging="401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792F18">
        <w:rPr>
          <w:rFonts w:ascii="Times New Roman" w:eastAsia="標楷體" w:hAnsi="Times New Roman" w:cs="Times New Roman"/>
          <w:bCs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三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bCs/>
          <w:color w:val="000000" w:themeColor="text1"/>
        </w:rPr>
        <w:t>出席導師輔導相關會議或研習。</w:t>
      </w:r>
    </w:p>
    <w:p w:rsidR="003549BC" w:rsidRPr="00792F18" w:rsidRDefault="003549BC" w:rsidP="003549BC">
      <w:pPr>
        <w:widowControl/>
        <w:numPr>
          <w:ilvl w:val="0"/>
          <w:numId w:val="1"/>
        </w:numPr>
        <w:spacing w:line="320" w:lineRule="exact"/>
        <w:ind w:left="839" w:hanging="839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學生事務處負責推動全校導師輔導工作，並辦理下列事項：</w:t>
      </w:r>
    </w:p>
    <w:p w:rsidR="003549BC" w:rsidRPr="00792F18" w:rsidRDefault="003549BC" w:rsidP="003549BC">
      <w:pPr>
        <w:widowControl/>
        <w:spacing w:line="320" w:lineRule="exact"/>
        <w:ind w:leftChars="354" w:left="1316" w:hangingChars="194" w:hanging="46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一、每學期召開全校期初、期末導師輔導知能研習，討論全校導師工作實施情形並研議有關學生事務工作之共同問題。必要時，得召開臨時會。</w:t>
      </w:r>
    </w:p>
    <w:p w:rsidR="003549BC" w:rsidRPr="00792F18" w:rsidRDefault="003549BC" w:rsidP="003549BC">
      <w:pPr>
        <w:widowControl/>
        <w:spacing w:line="320" w:lineRule="exact"/>
        <w:ind w:leftChars="354" w:left="1316" w:hangingChars="194" w:hanging="46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二、為協助各班進行品德教育、生命關懷、性別平等、智慧財產重要議題之班級輔導活動，將相關宣導素材公告。</w:t>
      </w:r>
    </w:p>
    <w:p w:rsidR="003549BC" w:rsidRPr="00792F18" w:rsidRDefault="003549BC" w:rsidP="003549BC">
      <w:pPr>
        <w:widowControl/>
        <w:spacing w:line="320" w:lineRule="exact"/>
        <w:ind w:leftChars="354" w:left="1316" w:hangingChars="194" w:hanging="46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三、協助各類導師處理學生突發特殊事件。</w:t>
      </w:r>
    </w:p>
    <w:p w:rsidR="003549BC" w:rsidRPr="00792F18" w:rsidRDefault="003549BC" w:rsidP="003549BC">
      <w:pPr>
        <w:widowControl/>
        <w:spacing w:line="320" w:lineRule="exact"/>
        <w:ind w:leftChars="354" w:left="1316" w:hangingChars="194" w:hanging="466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四、管理及協助各級導師輔導工作。</w:t>
      </w:r>
    </w:p>
    <w:p w:rsidR="003549BC" w:rsidRPr="00792F18" w:rsidRDefault="003549BC" w:rsidP="003549BC">
      <w:pPr>
        <w:widowControl/>
        <w:tabs>
          <w:tab w:val="left" w:pos="851"/>
        </w:tabs>
        <w:spacing w:line="320" w:lineRule="exact"/>
        <w:ind w:leftChars="-59" w:left="-142" w:firstLineChars="59" w:firstLine="14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第八條</w:t>
      </w:r>
      <w:r w:rsidRPr="00792F1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792F18">
        <w:rPr>
          <w:rFonts w:ascii="Times New Roman" w:eastAsia="標楷體" w:hAnsi="Times New Roman" w:cs="Times New Roman"/>
          <w:color w:val="000000" w:themeColor="text1"/>
        </w:rPr>
        <w:t>導師費之發給，上學期從八月至翌年一月，下學期由二月至七月，共計十二個月。</w:t>
      </w:r>
    </w:p>
    <w:p w:rsidR="003549BC" w:rsidRPr="00792F18" w:rsidRDefault="003549BC" w:rsidP="003549BC">
      <w:pPr>
        <w:pStyle w:val="a3"/>
        <w:widowControl/>
        <w:spacing w:line="320" w:lineRule="exact"/>
        <w:ind w:leftChars="-59" w:left="-142" w:rightChars="12" w:right="29" w:firstLineChars="413" w:firstLine="9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一、各類導師費發放金額依據對照表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附件一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</w:rPr>
        <w:t>核發。</w:t>
      </w:r>
    </w:p>
    <w:p w:rsidR="003549BC" w:rsidRPr="00792F18" w:rsidRDefault="003549BC" w:rsidP="003549BC">
      <w:pPr>
        <w:pStyle w:val="a3"/>
        <w:widowControl/>
        <w:spacing w:line="320" w:lineRule="exact"/>
        <w:ind w:leftChars="354" w:left="133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二、四技日間部、二技日間部、五專部等班級導師：學生人數達</w:t>
      </w:r>
      <w:r w:rsidRPr="00792F18">
        <w:rPr>
          <w:rFonts w:ascii="Times New Roman" w:eastAsia="標楷體" w:hAnsi="Times New Roman" w:cs="Times New Roman"/>
          <w:color w:val="000000" w:themeColor="text1"/>
        </w:rPr>
        <w:t>30</w:t>
      </w:r>
      <w:r w:rsidRPr="00792F18">
        <w:rPr>
          <w:rFonts w:ascii="Times New Roman" w:eastAsia="標楷體" w:hAnsi="Times New Roman" w:cs="Times New Roman"/>
          <w:color w:val="000000" w:themeColor="text1"/>
        </w:rPr>
        <w:t>人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含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</w:rPr>
        <w:t>以上之班級，每月新臺幣</w:t>
      </w:r>
      <w:r w:rsidRPr="00792F18">
        <w:rPr>
          <w:rFonts w:ascii="Times New Roman" w:eastAsia="標楷體" w:hAnsi="Times New Roman" w:cs="Times New Roman"/>
          <w:color w:val="000000" w:themeColor="text1"/>
        </w:rPr>
        <w:t>5,370</w:t>
      </w:r>
      <w:r w:rsidRPr="00792F18">
        <w:rPr>
          <w:rFonts w:ascii="Times New Roman" w:eastAsia="標楷體" w:hAnsi="Times New Roman" w:cs="Times New Roman"/>
          <w:color w:val="000000" w:themeColor="text1"/>
        </w:rPr>
        <w:t>元；不足</w:t>
      </w:r>
      <w:r w:rsidRPr="00792F18">
        <w:rPr>
          <w:rFonts w:ascii="Times New Roman" w:eastAsia="標楷體" w:hAnsi="Times New Roman" w:cs="Times New Roman"/>
          <w:color w:val="000000" w:themeColor="text1"/>
        </w:rPr>
        <w:t>30</w:t>
      </w:r>
      <w:r w:rsidRPr="00792F18">
        <w:rPr>
          <w:rFonts w:ascii="Times New Roman" w:eastAsia="標楷體" w:hAnsi="Times New Roman" w:cs="Times New Roman"/>
          <w:color w:val="000000" w:themeColor="text1"/>
        </w:rPr>
        <w:t>人之班級，依據日間部班級導師費發放金額對照表</w:t>
      </w:r>
      <w:r w:rsidRPr="00792F18">
        <w:rPr>
          <w:rFonts w:ascii="Times New Roman" w:eastAsia="標楷體" w:hAnsi="Times New Roman" w:cs="Times New Roman"/>
          <w:color w:val="000000" w:themeColor="text1"/>
        </w:rPr>
        <w:t>(</w:t>
      </w:r>
      <w:r w:rsidRPr="00792F18">
        <w:rPr>
          <w:rFonts w:ascii="Times New Roman" w:eastAsia="標楷體" w:hAnsi="Times New Roman" w:cs="Times New Roman"/>
          <w:color w:val="000000" w:themeColor="text1"/>
        </w:rPr>
        <w:t>附件二</w:t>
      </w:r>
      <w:r w:rsidRPr="00792F18">
        <w:rPr>
          <w:rFonts w:ascii="Times New Roman" w:eastAsia="標楷體" w:hAnsi="Times New Roman" w:cs="Times New Roman"/>
          <w:color w:val="000000" w:themeColor="text1"/>
        </w:rPr>
        <w:t>)</w:t>
      </w:r>
      <w:r w:rsidRPr="00792F18">
        <w:rPr>
          <w:rFonts w:ascii="Times New Roman" w:eastAsia="標楷體" w:hAnsi="Times New Roman" w:cs="Times New Roman"/>
          <w:color w:val="000000" w:themeColor="text1"/>
        </w:rPr>
        <w:t>核發。</w:t>
      </w:r>
    </w:p>
    <w:p w:rsidR="003549BC" w:rsidRPr="00792F18" w:rsidRDefault="003549BC" w:rsidP="003549BC">
      <w:pPr>
        <w:pStyle w:val="a3"/>
        <w:widowControl/>
        <w:spacing w:line="320" w:lineRule="exact"/>
        <w:ind w:leftChars="-59" w:left="-142" w:firstLineChars="413" w:firstLine="99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lastRenderedPageBreak/>
        <w:t>其他非屬對照表各類別者，另以專案簽核方式辦理。</w:t>
      </w:r>
    </w:p>
    <w:p w:rsidR="003549BC" w:rsidRPr="00792F18" w:rsidRDefault="003549BC" w:rsidP="003549BC">
      <w:pPr>
        <w:widowControl/>
        <w:numPr>
          <w:ilvl w:val="0"/>
          <w:numId w:val="2"/>
        </w:numPr>
        <w:tabs>
          <w:tab w:val="left" w:pos="851"/>
        </w:tabs>
        <w:spacing w:line="320" w:lineRule="exact"/>
        <w:ind w:left="851" w:hanging="851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導師工作績效得作為教師獎勵、升等、評鑑之參考。輔導工作表現傑出之導師，每學年依本校導師考評及獎勵辦法給予獎勵和表揚。本校導師考評及獎勵辦法另訂之。</w:t>
      </w:r>
    </w:p>
    <w:p w:rsidR="003549BC" w:rsidRPr="00792F18" w:rsidRDefault="003549BC" w:rsidP="003549BC">
      <w:pPr>
        <w:widowControl/>
        <w:numPr>
          <w:ilvl w:val="0"/>
          <w:numId w:val="2"/>
        </w:numPr>
        <w:spacing w:line="320" w:lineRule="exact"/>
        <w:ind w:left="851" w:hanging="851"/>
        <w:jc w:val="both"/>
        <w:rPr>
          <w:rFonts w:ascii="Times New Roman" w:eastAsia="標楷體" w:hAnsi="Times New Roman" w:cs="Times New Roman"/>
          <w:b/>
          <w:bCs/>
          <w:color w:val="000000" w:themeColor="text1"/>
          <w:kern w:val="52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本辦法經校務會議通過，陳請校長核定後公布施行，修正時亦同。</w:t>
      </w:r>
    </w:p>
    <w:p w:rsidR="003549BC" w:rsidRPr="00792F18" w:rsidRDefault="003549BC" w:rsidP="003549BC">
      <w:pPr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792F18">
        <w:rPr>
          <w:rFonts w:ascii="Times New Roman" w:eastAsia="標楷體" w:hAnsi="Times New Roman" w:cs="Times New Roman"/>
          <w:color w:val="000000" w:themeColor="text1"/>
        </w:rPr>
        <w:lastRenderedPageBreak/>
        <w:t>附件一、各類導師費發放金額對照表</w:t>
      </w:r>
    </w:p>
    <w:tbl>
      <w:tblPr>
        <w:tblW w:w="296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2666"/>
      </w:tblGrid>
      <w:tr w:rsidR="00792F18" w:rsidRPr="00792F18" w:rsidTr="00280EE5">
        <w:trPr>
          <w:cantSplit/>
          <w:trHeight w:hRule="exact" w:val="39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34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類別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導師費</w:t>
            </w:r>
            <w:r w:rsidRPr="00792F1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(</w:t>
            </w:r>
            <w:r w:rsidRPr="00792F1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元</w:t>
            </w:r>
            <w:r w:rsidRPr="00792F1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)</w:t>
            </w:r>
          </w:p>
        </w:tc>
      </w:tr>
      <w:tr w:rsidR="00792F18" w:rsidRPr="00792F18" w:rsidTr="00280EE5">
        <w:trPr>
          <w:cantSplit/>
          <w:trHeight w:hRule="exact" w:val="39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340" w:lineRule="atLeas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校總導師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5,370</w:t>
            </w:r>
          </w:p>
        </w:tc>
      </w:tr>
      <w:tr w:rsidR="00792F18" w:rsidRPr="00792F18" w:rsidTr="00280EE5">
        <w:trPr>
          <w:cantSplit/>
          <w:trHeight w:hRule="exact" w:val="39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校副總導師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5,370</w:t>
            </w:r>
          </w:p>
        </w:tc>
      </w:tr>
      <w:tr w:rsidR="00792F18" w:rsidRPr="00792F18" w:rsidTr="00280EE5">
        <w:trPr>
          <w:cantSplit/>
          <w:trHeight w:hRule="exact" w:val="39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院主任導師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4,028</w:t>
            </w:r>
          </w:p>
        </w:tc>
      </w:tr>
      <w:tr w:rsidR="00792F18" w:rsidRPr="00792F18" w:rsidTr="00280EE5">
        <w:trPr>
          <w:cantSplit/>
          <w:trHeight w:hRule="exact" w:val="39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340" w:lineRule="atLeas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所主任導師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2,685</w:t>
            </w:r>
          </w:p>
        </w:tc>
      </w:tr>
      <w:tr w:rsidR="00792F18" w:rsidRPr="00792F18" w:rsidTr="00280EE5">
        <w:trPr>
          <w:cantSplit/>
          <w:trHeight w:hRule="exact" w:val="39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340" w:lineRule="atLeas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系</w:t>
            </w:r>
            <w:r w:rsidRPr="00792F18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792F18">
              <w:rPr>
                <w:rFonts w:ascii="Times New Roman" w:eastAsia="標楷體" w:hAnsi="Times New Roman" w:cs="Times New Roman"/>
                <w:color w:val="000000" w:themeColor="text1"/>
              </w:rPr>
              <w:t>科</w:t>
            </w:r>
            <w:r w:rsidRPr="00792F18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、學程主任導師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5,370</w:t>
            </w:r>
          </w:p>
        </w:tc>
      </w:tr>
      <w:tr w:rsidR="00792F18" w:rsidRPr="00792F18" w:rsidTr="00280EE5">
        <w:trPr>
          <w:cantSplit/>
          <w:trHeight w:hRule="exact" w:val="39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日間部班級導師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依班級人數發放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附件二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</w:p>
        </w:tc>
      </w:tr>
      <w:tr w:rsidR="00792F18" w:rsidRPr="00792F18" w:rsidTr="00280EE5">
        <w:trPr>
          <w:cantSplit/>
          <w:trHeight w:hRule="exact" w:val="39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340" w:lineRule="atLeas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進修部班級導師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9BC" w:rsidRPr="00792F18" w:rsidRDefault="003549BC" w:rsidP="00280EE5">
            <w:pPr>
              <w:snapToGrid w:val="0"/>
              <w:spacing w:beforeLines="20" w:before="72" w:afterLines="20" w:after="72" w:line="0" w:lineRule="atLeas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1,500</w:t>
            </w:r>
          </w:p>
        </w:tc>
      </w:tr>
    </w:tbl>
    <w:p w:rsidR="003549BC" w:rsidRPr="00792F18" w:rsidRDefault="003549BC" w:rsidP="003549BC">
      <w:pPr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792F18">
        <w:rPr>
          <w:rFonts w:ascii="Times New Roman" w:eastAsia="標楷體" w:hAnsi="Times New Roman" w:cs="Times New Roman"/>
          <w:color w:val="000000" w:themeColor="text1"/>
        </w:rPr>
        <w:t>附件二、日間部導師費發放金額對照表</w:t>
      </w:r>
    </w:p>
    <w:tbl>
      <w:tblPr>
        <w:tblW w:w="4078" w:type="dxa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6"/>
        <w:gridCol w:w="1752"/>
      </w:tblGrid>
      <w:tr w:rsidR="00792F18" w:rsidRPr="00792F18" w:rsidTr="00280EE5">
        <w:trPr>
          <w:trHeight w:val="3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班級人數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導師費</w:t>
            </w:r>
            <w:r w:rsidRPr="00792F1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(</w:t>
            </w:r>
            <w:r w:rsidRPr="00792F1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元</w:t>
            </w:r>
            <w:r w:rsidRPr="00792F1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)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5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(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含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)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以內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1,000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6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1,175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7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1,350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8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1,525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9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1,700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10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1,875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11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2,050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12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2,225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13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2,400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14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2,575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15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2,750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16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2,925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17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3,100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18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3,275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19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3,450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20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3,625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21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3,800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22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3,975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23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4,150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24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4,325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25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4,500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26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4,675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27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4,850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28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5,025</w:t>
            </w:r>
          </w:p>
        </w:tc>
      </w:tr>
      <w:tr w:rsidR="00792F18" w:rsidRPr="00792F18" w:rsidTr="00280EE5">
        <w:trPr>
          <w:trHeight w:val="330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29</w:t>
            </w: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9BC" w:rsidRPr="00792F18" w:rsidRDefault="003549BC" w:rsidP="00280EE5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</w:pPr>
            <w:r w:rsidRPr="00792F1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5,200</w:t>
            </w:r>
          </w:p>
        </w:tc>
      </w:tr>
      <w:bookmarkEnd w:id="0"/>
      <w:bookmarkEnd w:id="1"/>
    </w:tbl>
    <w:p w:rsidR="003549BC" w:rsidRPr="00792F18" w:rsidRDefault="003549BC" w:rsidP="003549BC">
      <w:pPr>
        <w:rPr>
          <w:rFonts w:ascii="Times New Roman" w:eastAsia="標楷體" w:hAnsi="Times New Roman"/>
          <w:color w:val="000000" w:themeColor="text1"/>
        </w:rPr>
      </w:pPr>
    </w:p>
    <w:sectPr w:rsidR="003549BC" w:rsidRPr="00792F18" w:rsidSect="003549BC"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3000"/>
    <w:multiLevelType w:val="hybridMultilevel"/>
    <w:tmpl w:val="134CC280"/>
    <w:lvl w:ilvl="0" w:tplc="062AB58E">
      <w:start w:val="1"/>
      <w:numFmt w:val="taiwaneseCountingThousand"/>
      <w:lvlText w:val="第%1條"/>
      <w:lvlJc w:val="left"/>
      <w:pPr>
        <w:ind w:left="1550" w:hanging="84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737F5B"/>
    <w:multiLevelType w:val="hybridMultilevel"/>
    <w:tmpl w:val="24AAFDF6"/>
    <w:lvl w:ilvl="0" w:tplc="A9720EE2">
      <w:start w:val="9"/>
      <w:numFmt w:val="taiwaneseCountingThousand"/>
      <w:lvlText w:val="第%1條"/>
      <w:lvlJc w:val="left"/>
      <w:pPr>
        <w:ind w:left="1266" w:hanging="84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BC"/>
    <w:rsid w:val="003549BC"/>
    <w:rsid w:val="00792F18"/>
    <w:rsid w:val="007A6050"/>
    <w:rsid w:val="009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FD53"/>
  <w15:chartTrackingRefBased/>
  <w15:docId w15:val="{D3BF1CD0-FD72-45D3-BDCD-91B68ABF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12 20,教育部說明文字,(1)(1)(1)(1)(1)(1)(1)(1),標1,(二),lp1,FooterText,numbered,List Paragraph1,Paragraphe de liste1,清單段落31,標題一,一、清單段落,List Paragraph,網推會說明清單,附錄1,1.2.3.,壹_二階,標11,標12,標題 (4),1.1.1.1清單段落,列點,貿易局(一),Recommendation,Footnote Sam,Text"/>
    <w:basedOn w:val="a"/>
    <w:link w:val="a4"/>
    <w:uiPriority w:val="34"/>
    <w:qFormat/>
    <w:rsid w:val="003549BC"/>
    <w:pPr>
      <w:ind w:leftChars="200" w:left="480"/>
    </w:pPr>
  </w:style>
  <w:style w:type="character" w:customStyle="1" w:styleId="a4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,List Paragraph 字元,網推會說明清單 字元,附錄1 字元,1.2.3. 字元,壹_二階 字元,標11 字元,標12 字元,列點 字元"/>
    <w:link w:val="a3"/>
    <w:uiPriority w:val="34"/>
    <w:qFormat/>
    <w:locked/>
    <w:rsid w:val="00354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2024-11-06T01:32:00Z</dcterms:created>
  <dcterms:modified xsi:type="dcterms:W3CDTF">2024-11-06T01:50:00Z</dcterms:modified>
</cp:coreProperties>
</file>