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3095" w14:textId="77777777" w:rsidR="00617661" w:rsidRPr="00B27A07" w:rsidRDefault="00617661" w:rsidP="00617661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27A07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B27A07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B27A07">
        <w:rPr>
          <w:rFonts w:ascii="Times New Roman" w:eastAsia="標楷體" w:hAnsi="Times New Roman"/>
          <w:b/>
          <w:sz w:val="32"/>
          <w:szCs w:val="32"/>
        </w:rPr>
        <w:t>科技大學毒性</w:t>
      </w:r>
      <w:r w:rsidRPr="00876078">
        <w:rPr>
          <w:rFonts w:ascii="Times New Roman" w:eastAsia="標楷體" w:hAnsi="Times New Roman"/>
          <w:b/>
          <w:sz w:val="32"/>
          <w:szCs w:val="32"/>
        </w:rPr>
        <w:t>及關注</w:t>
      </w:r>
      <w:r w:rsidRPr="00B27A07">
        <w:rPr>
          <w:rFonts w:ascii="Times New Roman" w:eastAsia="標楷體" w:hAnsi="Times New Roman"/>
          <w:b/>
          <w:sz w:val="32"/>
          <w:szCs w:val="32"/>
        </w:rPr>
        <w:t>化學物質運作管理委員會</w:t>
      </w:r>
      <w:r w:rsidRPr="00876078">
        <w:rPr>
          <w:rFonts w:ascii="Times New Roman" w:eastAsia="標楷體" w:hAnsi="Times New Roman"/>
          <w:b/>
          <w:sz w:val="32"/>
          <w:szCs w:val="32"/>
        </w:rPr>
        <w:t>設置辦法</w:t>
      </w:r>
    </w:p>
    <w:p w14:paraId="21C07E20" w14:textId="77777777" w:rsidR="00617661" w:rsidRPr="00B27A07" w:rsidRDefault="00617661" w:rsidP="00617661">
      <w:pPr>
        <w:spacing w:line="240" w:lineRule="exact"/>
        <w:ind w:left="958" w:rightChars="118" w:right="283" w:hanging="958"/>
        <w:jc w:val="right"/>
        <w:rPr>
          <w:rFonts w:ascii="Times New Roman" w:eastAsia="標楷體" w:hAnsi="Times New Roman"/>
          <w:sz w:val="20"/>
        </w:rPr>
      </w:pPr>
      <w:r w:rsidRPr="00B27A07">
        <w:rPr>
          <w:rFonts w:ascii="Times New Roman" w:eastAsia="標楷體" w:hAnsi="Times New Roman"/>
          <w:sz w:val="20"/>
        </w:rPr>
        <w:t>民國</w:t>
      </w:r>
      <w:r w:rsidRPr="00B27A07">
        <w:rPr>
          <w:rFonts w:ascii="Times New Roman" w:eastAsia="標楷體" w:hAnsi="Times New Roman"/>
          <w:sz w:val="20"/>
        </w:rPr>
        <w:t>89</w:t>
      </w:r>
      <w:r w:rsidRPr="00B27A07">
        <w:rPr>
          <w:rFonts w:ascii="Times New Roman" w:eastAsia="標楷體" w:hAnsi="Times New Roman"/>
          <w:sz w:val="20"/>
        </w:rPr>
        <w:t>年</w:t>
      </w:r>
      <w:r w:rsidRPr="00B27A07">
        <w:rPr>
          <w:rFonts w:ascii="Times New Roman" w:eastAsia="標楷體" w:hAnsi="Times New Roman"/>
          <w:sz w:val="20"/>
        </w:rPr>
        <w:t>3</w:t>
      </w:r>
      <w:r w:rsidRPr="00B27A07">
        <w:rPr>
          <w:rFonts w:ascii="Times New Roman" w:eastAsia="標楷體" w:hAnsi="Times New Roman"/>
          <w:sz w:val="20"/>
        </w:rPr>
        <w:t>月</w:t>
      </w:r>
      <w:r w:rsidRPr="00B27A07">
        <w:rPr>
          <w:rFonts w:ascii="Times New Roman" w:eastAsia="標楷體" w:hAnsi="Times New Roman"/>
          <w:sz w:val="20"/>
        </w:rPr>
        <w:t>20</w:t>
      </w:r>
      <w:r w:rsidRPr="00B27A07">
        <w:rPr>
          <w:rFonts w:ascii="Times New Roman" w:eastAsia="標楷體" w:hAnsi="Times New Roman"/>
          <w:sz w:val="20"/>
        </w:rPr>
        <w:t>日校務會議通過</w:t>
      </w:r>
    </w:p>
    <w:p w14:paraId="70B35BBA" w14:textId="77777777" w:rsidR="00617661" w:rsidRPr="00B27A07" w:rsidRDefault="00617661" w:rsidP="00617661">
      <w:pPr>
        <w:spacing w:line="240" w:lineRule="exact"/>
        <w:ind w:left="960" w:rightChars="118" w:right="283" w:hanging="960"/>
        <w:jc w:val="right"/>
        <w:rPr>
          <w:rFonts w:ascii="Times New Roman" w:eastAsia="標楷體" w:hAnsi="Times New Roman"/>
          <w:sz w:val="20"/>
        </w:rPr>
      </w:pPr>
      <w:r w:rsidRPr="00876078">
        <w:rPr>
          <w:rFonts w:ascii="Times New Roman" w:eastAsia="標楷體" w:hAnsi="Times New Roman" w:hint="eastAsia"/>
          <w:sz w:val="20"/>
        </w:rPr>
        <w:t>民國</w:t>
      </w:r>
      <w:r w:rsidRPr="00876078">
        <w:rPr>
          <w:rFonts w:ascii="Times New Roman" w:eastAsia="標楷體" w:hAnsi="Times New Roman" w:hint="eastAsia"/>
          <w:sz w:val="20"/>
        </w:rPr>
        <w:t>113</w:t>
      </w:r>
      <w:r w:rsidRPr="00876078">
        <w:rPr>
          <w:rFonts w:ascii="Times New Roman" w:eastAsia="標楷體" w:hAnsi="Times New Roman" w:hint="eastAsia"/>
          <w:sz w:val="20"/>
        </w:rPr>
        <w:t>年</w:t>
      </w:r>
      <w:r w:rsidRPr="00876078">
        <w:rPr>
          <w:rFonts w:ascii="Times New Roman" w:eastAsia="標楷體" w:hAnsi="Times New Roman" w:hint="eastAsia"/>
          <w:sz w:val="20"/>
        </w:rPr>
        <w:t>12</w:t>
      </w:r>
      <w:r w:rsidRPr="00876078">
        <w:rPr>
          <w:rFonts w:ascii="Times New Roman" w:eastAsia="標楷體" w:hAnsi="Times New Roman" w:hint="eastAsia"/>
          <w:sz w:val="20"/>
        </w:rPr>
        <w:t>月</w:t>
      </w:r>
      <w:r w:rsidRPr="00876078">
        <w:rPr>
          <w:rFonts w:ascii="Times New Roman" w:eastAsia="標楷體" w:hAnsi="Times New Roman" w:hint="eastAsia"/>
          <w:sz w:val="20"/>
        </w:rPr>
        <w:t>25</w:t>
      </w:r>
      <w:r w:rsidRPr="00876078">
        <w:rPr>
          <w:rFonts w:ascii="Times New Roman" w:eastAsia="標楷體" w:hAnsi="Times New Roman" w:hint="eastAsia"/>
          <w:sz w:val="20"/>
        </w:rPr>
        <w:t>日校務會議通過</w:t>
      </w:r>
    </w:p>
    <w:p w14:paraId="2BD2E110" w14:textId="77777777" w:rsidR="00617661" w:rsidRPr="00876078" w:rsidRDefault="00617661" w:rsidP="00617661">
      <w:pPr>
        <w:numPr>
          <w:ilvl w:val="0"/>
          <w:numId w:val="2"/>
        </w:numPr>
        <w:tabs>
          <w:tab w:val="clear" w:pos="1800"/>
          <w:tab w:val="num" w:pos="1276"/>
        </w:tabs>
        <w:ind w:left="1276" w:hanging="1276"/>
        <w:jc w:val="both"/>
        <w:rPr>
          <w:rFonts w:ascii="Times New Roman" w:eastAsia="標楷體" w:hAnsi="Times New Roman"/>
        </w:rPr>
      </w:pPr>
      <w:r w:rsidRPr="00876078">
        <w:rPr>
          <w:rFonts w:ascii="Times New Roman" w:eastAsia="標楷體" w:hAnsi="Times New Roman"/>
        </w:rPr>
        <w:t>南</w:t>
      </w:r>
      <w:proofErr w:type="gramStart"/>
      <w:r w:rsidRPr="00876078">
        <w:rPr>
          <w:rFonts w:ascii="Times New Roman" w:eastAsia="標楷體" w:hAnsi="Times New Roman"/>
        </w:rPr>
        <w:t>臺</w:t>
      </w:r>
      <w:proofErr w:type="gramEnd"/>
      <w:r w:rsidRPr="00876078">
        <w:rPr>
          <w:rFonts w:ascii="Times New Roman" w:eastAsia="標楷體" w:hAnsi="Times New Roman"/>
        </w:rPr>
        <w:t>科技大學（以下簡稱本校）為落實實驗室、試驗室及實習工廠之安全管理，減少毒性及關注</w:t>
      </w:r>
      <w:proofErr w:type="gramStart"/>
      <w:r w:rsidRPr="00876078">
        <w:rPr>
          <w:rFonts w:ascii="Times New Roman" w:eastAsia="標楷體" w:hAnsi="Times New Roman"/>
        </w:rPr>
        <w:t>化學化學</w:t>
      </w:r>
      <w:proofErr w:type="gramEnd"/>
      <w:r w:rsidRPr="00876078">
        <w:rPr>
          <w:rFonts w:ascii="Times New Roman" w:eastAsia="標楷體" w:hAnsi="Times New Roman"/>
        </w:rPr>
        <w:t>物質所產生之災害，依「學術機構運作毒性及關注化學物質管理辦法」</w:t>
      </w:r>
      <w:r w:rsidRPr="00876078">
        <w:rPr>
          <w:rFonts w:ascii="Times New Roman" w:eastAsia="標楷體" w:hAnsi="Times New Roman"/>
        </w:rPr>
        <w:t>(</w:t>
      </w:r>
      <w:r w:rsidRPr="00876078">
        <w:rPr>
          <w:rFonts w:ascii="Times New Roman" w:eastAsia="標楷體" w:hAnsi="Times New Roman"/>
        </w:rPr>
        <w:t>以下簡稱毒管辦法</w:t>
      </w:r>
      <w:r w:rsidRPr="00876078">
        <w:rPr>
          <w:rFonts w:ascii="Times New Roman" w:eastAsia="標楷體" w:hAnsi="Times New Roman"/>
        </w:rPr>
        <w:t>)</w:t>
      </w:r>
      <w:r w:rsidRPr="00876078">
        <w:rPr>
          <w:rFonts w:ascii="Times New Roman" w:eastAsia="標楷體" w:hAnsi="Times New Roman"/>
        </w:rPr>
        <w:t>，並斟酌本校現實狀況與需要，成立「南</w:t>
      </w:r>
      <w:proofErr w:type="gramStart"/>
      <w:r w:rsidRPr="00876078">
        <w:rPr>
          <w:rFonts w:ascii="Times New Roman" w:eastAsia="標楷體" w:hAnsi="Times New Roman"/>
        </w:rPr>
        <w:t>臺</w:t>
      </w:r>
      <w:proofErr w:type="gramEnd"/>
      <w:r w:rsidRPr="00876078">
        <w:rPr>
          <w:rFonts w:ascii="Times New Roman" w:eastAsia="標楷體" w:hAnsi="Times New Roman"/>
        </w:rPr>
        <w:t>科技大學毒性及關注化學物質運作管理委員會」</w:t>
      </w:r>
      <w:r w:rsidRPr="00876078">
        <w:rPr>
          <w:rFonts w:ascii="Times New Roman" w:eastAsia="標楷體" w:hAnsi="Times New Roman"/>
        </w:rPr>
        <w:t>(</w:t>
      </w:r>
      <w:r w:rsidRPr="00876078">
        <w:rPr>
          <w:rFonts w:ascii="Times New Roman" w:eastAsia="標楷體" w:hAnsi="Times New Roman"/>
        </w:rPr>
        <w:t>以下簡稱本委員會</w:t>
      </w:r>
      <w:r w:rsidRPr="00876078">
        <w:rPr>
          <w:rFonts w:ascii="Times New Roman" w:eastAsia="標楷體" w:hAnsi="Times New Roman"/>
        </w:rPr>
        <w:t>)</w:t>
      </w:r>
      <w:r w:rsidRPr="00876078">
        <w:rPr>
          <w:rFonts w:ascii="Times New Roman" w:eastAsia="標楷體" w:hAnsi="Times New Roman"/>
        </w:rPr>
        <w:t>。</w:t>
      </w:r>
    </w:p>
    <w:p w14:paraId="5410EB44" w14:textId="77777777" w:rsidR="00617661" w:rsidRPr="00876078" w:rsidRDefault="00617661" w:rsidP="00617661">
      <w:pPr>
        <w:numPr>
          <w:ilvl w:val="0"/>
          <w:numId w:val="2"/>
        </w:numPr>
        <w:ind w:left="1276" w:hanging="1276"/>
        <w:jc w:val="both"/>
        <w:rPr>
          <w:rFonts w:ascii="Times New Roman" w:eastAsia="標楷體" w:hAnsi="Times New Roman"/>
        </w:rPr>
      </w:pPr>
      <w:r w:rsidRPr="00876078">
        <w:rPr>
          <w:rFonts w:ascii="Times New Roman" w:eastAsia="標楷體" w:hAnsi="Times New Roman"/>
        </w:rPr>
        <w:t>本委員會任務如下：</w:t>
      </w:r>
    </w:p>
    <w:p w14:paraId="281E8258" w14:textId="77777777" w:rsidR="00617661" w:rsidRPr="00606D55" w:rsidRDefault="00617661" w:rsidP="00617661">
      <w:pPr>
        <w:numPr>
          <w:ilvl w:val="1"/>
          <w:numId w:val="1"/>
        </w:numPr>
        <w:ind w:left="1843" w:hanging="567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關於本校毒性及關注化學物質運作管理規定之訂定與實施。</w:t>
      </w:r>
    </w:p>
    <w:p w14:paraId="357B405D" w14:textId="77777777" w:rsidR="00617661" w:rsidRPr="00606D55" w:rsidRDefault="00617661" w:rsidP="00617661">
      <w:pPr>
        <w:numPr>
          <w:ilvl w:val="1"/>
          <w:numId w:val="1"/>
        </w:numPr>
        <w:ind w:left="1843" w:hanging="567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依規定訂定毒性及關注化學物質危害預防應變計畫。</w:t>
      </w:r>
    </w:p>
    <w:p w14:paraId="5460F3D2" w14:textId="77777777" w:rsidR="00617661" w:rsidRPr="00606D55" w:rsidRDefault="00617661" w:rsidP="00617661">
      <w:pPr>
        <w:numPr>
          <w:ilvl w:val="1"/>
          <w:numId w:val="1"/>
        </w:numPr>
        <w:ind w:left="1843" w:hanging="567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 w:hint="eastAsia"/>
        </w:rPr>
        <w:t>本校各</w:t>
      </w:r>
      <w:r w:rsidRPr="00606D55">
        <w:rPr>
          <w:rFonts w:ascii="Times New Roman" w:eastAsia="標楷體" w:hAnsi="Times New Roman"/>
        </w:rPr>
        <w:t>單位運作毒性及關注化學物質之核定。</w:t>
      </w:r>
    </w:p>
    <w:p w14:paraId="2676966F" w14:textId="77777777" w:rsidR="00617661" w:rsidRPr="00606D55" w:rsidRDefault="00617661" w:rsidP="00617661">
      <w:pPr>
        <w:numPr>
          <w:ilvl w:val="1"/>
          <w:numId w:val="1"/>
        </w:numPr>
        <w:ind w:left="1843" w:hanging="567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  <w:szCs w:val="24"/>
        </w:rPr>
        <w:t>其</w:t>
      </w:r>
      <w:r w:rsidRPr="00606D55">
        <w:rPr>
          <w:rFonts w:ascii="Times New Roman" w:eastAsia="標楷體" w:hAnsi="Times New Roman" w:hint="eastAsia"/>
          <w:szCs w:val="24"/>
        </w:rPr>
        <w:t>它</w:t>
      </w:r>
      <w:r w:rsidRPr="00606D55">
        <w:rPr>
          <w:rFonts w:ascii="Times New Roman" w:eastAsia="標楷體" w:hAnsi="Times New Roman"/>
          <w:szCs w:val="24"/>
        </w:rPr>
        <w:t>有關</w:t>
      </w:r>
      <w:r w:rsidRPr="00606D55">
        <w:rPr>
          <w:rFonts w:ascii="Times New Roman" w:eastAsia="標楷體" w:hAnsi="Times New Roman" w:hint="eastAsia"/>
          <w:szCs w:val="24"/>
        </w:rPr>
        <w:t>毒管辦法</w:t>
      </w:r>
      <w:r w:rsidRPr="00606D55">
        <w:rPr>
          <w:rFonts w:ascii="Times New Roman" w:eastAsia="標楷體" w:hAnsi="Times New Roman"/>
          <w:szCs w:val="24"/>
        </w:rPr>
        <w:t>所交辦事項。</w:t>
      </w:r>
    </w:p>
    <w:p w14:paraId="2E75DD51" w14:textId="77777777" w:rsidR="00617661" w:rsidRPr="00606D55" w:rsidRDefault="00617661" w:rsidP="00617661">
      <w:pPr>
        <w:numPr>
          <w:ilvl w:val="0"/>
          <w:numId w:val="2"/>
        </w:numPr>
        <w:ind w:left="1276" w:hanging="1276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本委員會依毒管</w:t>
      </w:r>
      <w:r w:rsidRPr="00606D55">
        <w:rPr>
          <w:rFonts w:ascii="Times New Roman" w:eastAsia="標楷體" w:hAnsi="Times New Roman" w:hint="eastAsia"/>
        </w:rPr>
        <w:t>辦</w:t>
      </w:r>
      <w:r w:rsidRPr="00606D55">
        <w:rPr>
          <w:rFonts w:ascii="Times New Roman" w:eastAsia="標楷體" w:hAnsi="Times New Roman"/>
        </w:rPr>
        <w:t>法規定置委員五人，由各單位推舉具有處理毒性及關注化學物質相關專長之人員，陳請校長遴選聘任之，主任委員由校長派定。</w:t>
      </w:r>
    </w:p>
    <w:p w14:paraId="7AB840B8" w14:textId="77777777" w:rsidR="00617661" w:rsidRPr="00606D55" w:rsidRDefault="00617661" w:rsidP="00617661">
      <w:pPr>
        <w:numPr>
          <w:ilvl w:val="0"/>
          <w:numId w:val="2"/>
        </w:numPr>
        <w:tabs>
          <w:tab w:val="clear" w:pos="1800"/>
          <w:tab w:val="num" w:pos="1276"/>
        </w:tabs>
        <w:ind w:hanging="1800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依毒管</w:t>
      </w:r>
      <w:r w:rsidRPr="00606D55">
        <w:rPr>
          <w:rFonts w:ascii="Times New Roman" w:eastAsia="標楷體" w:hAnsi="Times New Roman" w:hint="eastAsia"/>
        </w:rPr>
        <w:t>辦</w:t>
      </w:r>
      <w:r w:rsidRPr="00606D55">
        <w:rPr>
          <w:rFonts w:ascii="Times New Roman" w:eastAsia="標楷體" w:hAnsi="Times New Roman"/>
        </w:rPr>
        <w:t>法規定委員會之委員中至少</w:t>
      </w:r>
      <w:r w:rsidRPr="00606D55">
        <w:rPr>
          <w:rFonts w:ascii="Times New Roman" w:eastAsia="標楷體" w:hAnsi="Times New Roman" w:hint="eastAsia"/>
        </w:rPr>
        <w:t>二</w:t>
      </w:r>
      <w:r w:rsidRPr="00606D55">
        <w:rPr>
          <w:rFonts w:ascii="Times New Roman" w:eastAsia="標楷體" w:hAnsi="Times New Roman"/>
        </w:rPr>
        <w:t>人應具備下列專長或技術：</w:t>
      </w:r>
    </w:p>
    <w:p w14:paraId="0997B9F3" w14:textId="77777777" w:rsidR="00617661" w:rsidRPr="00606D55" w:rsidRDefault="00617661" w:rsidP="00617661">
      <w:pPr>
        <w:ind w:left="1219" w:firstLineChars="23" w:firstLine="55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一、毒性及關注化學</w:t>
      </w:r>
      <w:proofErr w:type="gramStart"/>
      <w:r w:rsidRPr="00606D55">
        <w:rPr>
          <w:rFonts w:ascii="Times New Roman" w:eastAsia="標楷體" w:hAnsi="Times New Roman"/>
        </w:rPr>
        <w:t>物質毒理專長</w:t>
      </w:r>
      <w:proofErr w:type="gramEnd"/>
      <w:r w:rsidRPr="00606D55">
        <w:rPr>
          <w:rFonts w:ascii="Times New Roman" w:eastAsia="標楷體" w:hAnsi="Times New Roman"/>
        </w:rPr>
        <w:t>。</w:t>
      </w:r>
    </w:p>
    <w:p w14:paraId="1CC5505C" w14:textId="77777777" w:rsidR="00617661" w:rsidRPr="00606D55" w:rsidRDefault="00617661" w:rsidP="00617661">
      <w:pPr>
        <w:ind w:left="1219" w:firstLineChars="23" w:firstLine="55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二、毒性及關注化學物質運作技術。</w:t>
      </w:r>
    </w:p>
    <w:p w14:paraId="58A88BEC" w14:textId="77777777" w:rsidR="00617661" w:rsidRPr="00606D55" w:rsidRDefault="00617661" w:rsidP="00617661">
      <w:pPr>
        <w:ind w:left="1219" w:firstLineChars="23" w:firstLine="55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三、毒性及關注化學物質管理專長。</w:t>
      </w:r>
    </w:p>
    <w:p w14:paraId="550CC6E8" w14:textId="77777777" w:rsidR="00617661" w:rsidRPr="00606D55" w:rsidRDefault="00617661" w:rsidP="00617661">
      <w:pPr>
        <w:numPr>
          <w:ilvl w:val="0"/>
          <w:numId w:val="2"/>
        </w:numPr>
        <w:ind w:left="1276" w:hanging="1276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本委員會主任委員及</w:t>
      </w:r>
      <w:proofErr w:type="gramStart"/>
      <w:r w:rsidRPr="00606D55">
        <w:rPr>
          <w:rFonts w:ascii="Times New Roman" w:eastAsia="標楷體" w:hAnsi="Times New Roman"/>
        </w:rPr>
        <w:t>委員均為無</w:t>
      </w:r>
      <w:proofErr w:type="gramEnd"/>
      <w:r w:rsidRPr="00606D55">
        <w:rPr>
          <w:rFonts w:ascii="Times New Roman" w:eastAsia="標楷體" w:hAnsi="Times New Roman"/>
        </w:rPr>
        <w:t>給職，</w:t>
      </w:r>
      <w:proofErr w:type="gramStart"/>
      <w:r w:rsidRPr="00606D55">
        <w:rPr>
          <w:rFonts w:ascii="Times New Roman" w:eastAsia="標楷體" w:hAnsi="Times New Roman"/>
        </w:rPr>
        <w:t>任期均為二年</w:t>
      </w:r>
      <w:proofErr w:type="gramEnd"/>
      <w:r w:rsidRPr="00606D55">
        <w:rPr>
          <w:rFonts w:ascii="Times New Roman" w:eastAsia="標楷體" w:hAnsi="Times New Roman"/>
        </w:rPr>
        <w:t>，任期屆滿，依第三條規定重新產生委員，組成委員會。</w:t>
      </w:r>
    </w:p>
    <w:p w14:paraId="66379AE1" w14:textId="77777777" w:rsidR="00617661" w:rsidRPr="00606D55" w:rsidRDefault="00617661" w:rsidP="00617661">
      <w:pPr>
        <w:numPr>
          <w:ilvl w:val="0"/>
          <w:numId w:val="2"/>
        </w:numPr>
        <w:ind w:left="1276" w:hanging="1276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本委員會置執行幹事一人，承主任委員之命處理會務及會議決議所應執行事項。</w:t>
      </w:r>
    </w:p>
    <w:p w14:paraId="7E3D9974" w14:textId="77777777" w:rsidR="00617661" w:rsidRPr="00606D55" w:rsidRDefault="00617661" w:rsidP="00617661">
      <w:pPr>
        <w:numPr>
          <w:ilvl w:val="0"/>
          <w:numId w:val="2"/>
        </w:numPr>
        <w:ind w:left="1276" w:hanging="1276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本委員會每</w:t>
      </w:r>
      <w:r w:rsidRPr="00606D55">
        <w:rPr>
          <w:rFonts w:ascii="Times New Roman" w:eastAsia="標楷體" w:hAnsi="Times New Roman" w:hint="eastAsia"/>
        </w:rPr>
        <w:t>季</w:t>
      </w:r>
      <w:r w:rsidRPr="00606D55">
        <w:rPr>
          <w:rFonts w:ascii="Times New Roman" w:eastAsia="標楷體" w:hAnsi="Times New Roman"/>
        </w:rPr>
        <w:t>舉行會議一次，必要時得召集臨時會議，會議由主任委員召集並擔任主席，執行幹事負責會議各項作業。</w:t>
      </w:r>
    </w:p>
    <w:p w14:paraId="1C34F0AD" w14:textId="77777777" w:rsidR="00617661" w:rsidRPr="00606D55" w:rsidRDefault="00617661" w:rsidP="00617661">
      <w:pPr>
        <w:numPr>
          <w:ilvl w:val="0"/>
          <w:numId w:val="2"/>
        </w:numPr>
        <w:ind w:left="1418" w:hanging="1418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本委員會依毒管辦法之規定</w:t>
      </w:r>
      <w:r w:rsidRPr="00606D55">
        <w:rPr>
          <w:rFonts w:ascii="Times New Roman" w:eastAsia="標楷體" w:hAnsi="Times New Roman"/>
          <w:szCs w:val="24"/>
        </w:rPr>
        <w:t>，將本校運作之下列事項，呈報當地主管機關核備。</w:t>
      </w:r>
    </w:p>
    <w:p w14:paraId="3601E84D" w14:textId="77777777" w:rsidR="00617661" w:rsidRPr="00606D55" w:rsidRDefault="00617661" w:rsidP="00617661">
      <w:pPr>
        <w:ind w:leftChars="506" w:left="1706" w:hangingChars="205" w:hanging="492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一、</w:t>
      </w:r>
      <w:r w:rsidRPr="00606D55">
        <w:rPr>
          <w:rFonts w:ascii="Times New Roman" w:eastAsia="標楷體" w:hAnsi="Times New Roman"/>
        </w:rPr>
        <w:tab/>
      </w:r>
      <w:r w:rsidRPr="00606D55">
        <w:rPr>
          <w:rFonts w:ascii="Times New Roman" w:eastAsia="標楷體" w:hAnsi="Times New Roman"/>
        </w:rPr>
        <w:t>運作單位運作毒性化學物質，應依毒管</w:t>
      </w:r>
      <w:r w:rsidRPr="00606D55">
        <w:rPr>
          <w:rFonts w:ascii="Times New Roman" w:eastAsia="標楷體" w:hAnsi="Times New Roman" w:hint="eastAsia"/>
        </w:rPr>
        <w:t>辦</w:t>
      </w:r>
      <w:r w:rsidRPr="00606D55">
        <w:rPr>
          <w:rFonts w:ascii="Times New Roman" w:eastAsia="標楷體" w:hAnsi="Times New Roman"/>
        </w:rPr>
        <w:t>法第九條第二項規定之格式確實記錄，逐月填寫毒性化學物質運作紀錄表，並以書面或電子檔案方式保存；其各種</w:t>
      </w:r>
      <w:proofErr w:type="gramStart"/>
      <w:r w:rsidRPr="00606D55">
        <w:rPr>
          <w:rFonts w:ascii="Times New Roman" w:eastAsia="標楷體" w:hAnsi="Times New Roman"/>
        </w:rPr>
        <w:t>運作量無變動</w:t>
      </w:r>
      <w:proofErr w:type="gramEnd"/>
      <w:r w:rsidRPr="00606D55">
        <w:rPr>
          <w:rFonts w:ascii="Times New Roman" w:eastAsia="標楷體" w:hAnsi="Times New Roman"/>
        </w:rPr>
        <w:t>者，得逐月填寫。</w:t>
      </w:r>
    </w:p>
    <w:p w14:paraId="0239A872" w14:textId="77777777" w:rsidR="00617661" w:rsidRPr="00606D55" w:rsidRDefault="00617661" w:rsidP="00617661">
      <w:pPr>
        <w:ind w:leftChars="506" w:left="1706" w:hangingChars="205" w:hanging="492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二、</w:t>
      </w:r>
      <w:r w:rsidRPr="00606D55">
        <w:rPr>
          <w:rFonts w:ascii="Times New Roman" w:eastAsia="標楷體" w:hAnsi="Times New Roman"/>
        </w:rPr>
        <w:tab/>
      </w:r>
      <w:r w:rsidRPr="00606D55">
        <w:rPr>
          <w:rFonts w:ascii="Times New Roman" w:eastAsia="標楷體" w:hAnsi="Times New Roman"/>
        </w:rPr>
        <w:t>前款紀錄表由環境安全衛生室</w:t>
      </w:r>
      <w:proofErr w:type="gramStart"/>
      <w:r w:rsidRPr="00606D55">
        <w:rPr>
          <w:rFonts w:ascii="Times New Roman" w:eastAsia="標楷體" w:hAnsi="Times New Roman"/>
        </w:rPr>
        <w:t>採</w:t>
      </w:r>
      <w:proofErr w:type="gramEnd"/>
      <w:r w:rsidRPr="00606D55">
        <w:rPr>
          <w:rFonts w:ascii="Times New Roman" w:eastAsia="標楷體" w:hAnsi="Times New Roman"/>
        </w:rPr>
        <w:t>網路傳輸方式於每年一月三十一日、四月三十日、七月三十一日、十月三十一日以前，向毒性化學物質所在地之直轄市、縣（市）主管機關申報前三</w:t>
      </w:r>
      <w:proofErr w:type="gramStart"/>
      <w:r w:rsidRPr="00606D55">
        <w:rPr>
          <w:rFonts w:ascii="Times New Roman" w:eastAsia="標楷體" w:hAnsi="Times New Roman"/>
        </w:rPr>
        <w:t>個</w:t>
      </w:r>
      <w:proofErr w:type="gramEnd"/>
      <w:r w:rsidRPr="00606D55">
        <w:rPr>
          <w:rFonts w:ascii="Times New Roman" w:eastAsia="標楷體" w:hAnsi="Times New Roman"/>
        </w:rPr>
        <w:t>月毒性化學物質運作紀錄。</w:t>
      </w:r>
    </w:p>
    <w:p w14:paraId="78FFC20D" w14:textId="77777777" w:rsidR="00617661" w:rsidRPr="00606D55" w:rsidRDefault="00617661" w:rsidP="00617661">
      <w:pPr>
        <w:ind w:leftChars="506" w:left="1706" w:hangingChars="205" w:hanging="492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三、</w:t>
      </w:r>
      <w:r w:rsidRPr="00606D55">
        <w:rPr>
          <w:rFonts w:ascii="Times New Roman" w:eastAsia="標楷體" w:hAnsi="Times New Roman"/>
        </w:rPr>
        <w:tab/>
      </w:r>
      <w:r w:rsidRPr="00606D55">
        <w:rPr>
          <w:rFonts w:ascii="Times New Roman" w:eastAsia="標楷體" w:hAnsi="Times New Roman"/>
        </w:rPr>
        <w:t>毒性化學物質各種</w:t>
      </w:r>
      <w:proofErr w:type="gramStart"/>
      <w:r w:rsidRPr="00606D55">
        <w:rPr>
          <w:rFonts w:ascii="Times New Roman" w:eastAsia="標楷體" w:hAnsi="Times New Roman"/>
        </w:rPr>
        <w:t>運作量無變動</w:t>
      </w:r>
      <w:proofErr w:type="gramEnd"/>
      <w:r w:rsidRPr="00606D55">
        <w:rPr>
          <w:rFonts w:ascii="Times New Roman" w:eastAsia="標楷體" w:hAnsi="Times New Roman"/>
        </w:rPr>
        <w:t>者，得免依前項規定申報，並於每年一月三十一日以前申報前一年毒性化學物質運作紀錄。</w:t>
      </w:r>
    </w:p>
    <w:p w14:paraId="06C4661D" w14:textId="77777777" w:rsidR="00617661" w:rsidRPr="00187529" w:rsidRDefault="00617661" w:rsidP="00617661">
      <w:pPr>
        <w:ind w:leftChars="506" w:left="1706" w:hangingChars="205" w:hanging="492"/>
        <w:jc w:val="both"/>
        <w:rPr>
          <w:rFonts w:ascii="Times New Roman" w:eastAsia="標楷體" w:hAnsi="Times New Roman"/>
        </w:rPr>
      </w:pPr>
      <w:r w:rsidRPr="00606D55">
        <w:rPr>
          <w:rFonts w:ascii="Times New Roman" w:eastAsia="標楷體" w:hAnsi="Times New Roman"/>
        </w:rPr>
        <w:t>四、毒性化學物質運作紀錄表，應於各系所之運作場所妥善保存三年</w:t>
      </w:r>
      <w:r w:rsidRPr="00187529">
        <w:rPr>
          <w:rFonts w:ascii="Times New Roman" w:eastAsia="標楷體" w:hAnsi="Times New Roman"/>
        </w:rPr>
        <w:t>備查。</w:t>
      </w:r>
    </w:p>
    <w:p w14:paraId="378E149E" w14:textId="77777777" w:rsidR="00617661" w:rsidRPr="00876078" w:rsidRDefault="00617661" w:rsidP="00617661">
      <w:pPr>
        <w:numPr>
          <w:ilvl w:val="0"/>
          <w:numId w:val="2"/>
        </w:numPr>
        <w:ind w:left="1418" w:hanging="1418"/>
        <w:jc w:val="both"/>
        <w:rPr>
          <w:rFonts w:ascii="Times New Roman" w:eastAsia="標楷體" w:hAnsi="Times New Roman"/>
        </w:rPr>
      </w:pPr>
      <w:r w:rsidRPr="00876078">
        <w:rPr>
          <w:rFonts w:ascii="Times New Roman" w:eastAsia="標楷體" w:hAnsi="Times New Roman"/>
        </w:rPr>
        <w:t>本委員會會議紀錄及執行事項，</w:t>
      </w:r>
      <w:proofErr w:type="gramStart"/>
      <w:r w:rsidRPr="00876078">
        <w:rPr>
          <w:rFonts w:ascii="Times New Roman" w:eastAsia="標楷體" w:hAnsi="Times New Roman"/>
        </w:rPr>
        <w:t>均交由</w:t>
      </w:r>
      <w:proofErr w:type="gramEnd"/>
      <w:r w:rsidRPr="00876078">
        <w:rPr>
          <w:rFonts w:ascii="Times New Roman" w:eastAsia="標楷體" w:hAnsi="Times New Roman"/>
        </w:rPr>
        <w:t>執行幹事妥為保存以備查核。</w:t>
      </w:r>
    </w:p>
    <w:p w14:paraId="60B9C012" w14:textId="77777777" w:rsidR="00617661" w:rsidRPr="00876078" w:rsidRDefault="00617661" w:rsidP="00617661">
      <w:pPr>
        <w:numPr>
          <w:ilvl w:val="0"/>
          <w:numId w:val="2"/>
        </w:numPr>
        <w:ind w:left="1418" w:hanging="1418"/>
        <w:jc w:val="both"/>
        <w:rPr>
          <w:rFonts w:ascii="Times New Roman" w:eastAsia="標楷體" w:hAnsi="Times New Roman"/>
        </w:rPr>
      </w:pPr>
      <w:r w:rsidRPr="00876078">
        <w:rPr>
          <w:rFonts w:ascii="Times New Roman" w:eastAsia="標楷體" w:hAnsi="Times New Roman"/>
        </w:rPr>
        <w:t>本辦法經</w:t>
      </w:r>
      <w:r w:rsidRPr="00876078">
        <w:rPr>
          <w:rFonts w:ascii="Times New Roman" w:eastAsia="標楷體" w:hAnsi="Times New Roman"/>
          <w:u w:val="single"/>
        </w:rPr>
        <w:t>行政會議</w:t>
      </w:r>
      <w:r w:rsidRPr="00876078">
        <w:rPr>
          <w:rFonts w:ascii="Times New Roman" w:eastAsia="標楷體" w:hAnsi="Times New Roman"/>
        </w:rPr>
        <w:t>通過，陳請校長核定後公</w:t>
      </w:r>
      <w:r w:rsidRPr="00876078">
        <w:rPr>
          <w:rFonts w:ascii="Times New Roman" w:eastAsia="標楷體" w:hAnsi="Times New Roman"/>
          <w:u w:val="single"/>
        </w:rPr>
        <w:t>布施行</w:t>
      </w:r>
      <w:r w:rsidRPr="00876078">
        <w:rPr>
          <w:rFonts w:ascii="Times New Roman" w:eastAsia="標楷體" w:hAnsi="Times New Roman"/>
        </w:rPr>
        <w:t>，修</w:t>
      </w:r>
      <w:r w:rsidRPr="00876078">
        <w:rPr>
          <w:rFonts w:ascii="Times New Roman" w:eastAsia="標楷體" w:hAnsi="Times New Roman"/>
          <w:u w:val="single"/>
        </w:rPr>
        <w:t>正</w:t>
      </w:r>
      <w:r w:rsidRPr="00876078">
        <w:rPr>
          <w:rFonts w:ascii="Times New Roman" w:eastAsia="標楷體" w:hAnsi="Times New Roman"/>
        </w:rPr>
        <w:t>時亦同。</w:t>
      </w:r>
    </w:p>
    <w:p w14:paraId="047F7394" w14:textId="77777777" w:rsidR="00C0001D" w:rsidRPr="00617661" w:rsidRDefault="00C0001D"/>
    <w:sectPr w:rsidR="00C0001D" w:rsidRPr="00617661" w:rsidSect="006176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53D14"/>
    <w:multiLevelType w:val="hybridMultilevel"/>
    <w:tmpl w:val="C8C0E084"/>
    <w:lvl w:ilvl="0" w:tplc="44C81644">
      <w:start w:val="1"/>
      <w:numFmt w:val="taiwaneseCountingThousand"/>
      <w:lvlText w:val="第  %1  條"/>
      <w:lvlJc w:val="left"/>
      <w:pPr>
        <w:tabs>
          <w:tab w:val="num" w:pos="1800"/>
        </w:tabs>
        <w:ind w:left="1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B6295"/>
    <w:multiLevelType w:val="hybridMultilevel"/>
    <w:tmpl w:val="10749A78"/>
    <w:lvl w:ilvl="0" w:tplc="C1463422">
      <w:start w:val="1"/>
      <w:numFmt w:val="taiwaneseCountingThousand"/>
      <w:lvlText w:val="第  %1  條"/>
      <w:lvlJc w:val="left"/>
      <w:pPr>
        <w:tabs>
          <w:tab w:val="num" w:pos="1219"/>
        </w:tabs>
        <w:ind w:left="1219" w:hanging="800"/>
      </w:pPr>
      <w:rPr>
        <w:rFonts w:hint="eastAsia"/>
      </w:rPr>
    </w:lvl>
    <w:lvl w:ilvl="1" w:tplc="6A62B266">
      <w:start w:val="1"/>
      <w:numFmt w:val="taiwaneseCountingThousand"/>
      <w:lvlText w:val="%2、"/>
      <w:lvlJc w:val="left"/>
      <w:pPr>
        <w:ind w:left="1757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7496793">
    <w:abstractNumId w:val="1"/>
  </w:num>
  <w:num w:numId="2" w16cid:durableId="99379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61"/>
    <w:rsid w:val="00187529"/>
    <w:rsid w:val="004C300D"/>
    <w:rsid w:val="00510EDA"/>
    <w:rsid w:val="00606D55"/>
    <w:rsid w:val="00617661"/>
    <w:rsid w:val="00C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6978"/>
  <w15:chartTrackingRefBased/>
  <w15:docId w15:val="{88ECE880-AAB7-43C1-8578-913F3E0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61"/>
    <w:pPr>
      <w:widowControl w:val="0"/>
    </w:pPr>
    <w:rPr>
      <w:rFonts w:ascii="Calibri" w:eastAsia="新細明體" w:hAnsi="Calibri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6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6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6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6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6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6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7661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6176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617661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6176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61766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766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766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766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7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6176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7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617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7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7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6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76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7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張正達</dc:creator>
  <cp:keywords/>
  <dc:description/>
  <cp:lastModifiedBy>張正達</cp:lastModifiedBy>
  <cp:revision>3</cp:revision>
  <cp:lastPrinted>2024-12-26T01:40:00Z</cp:lastPrinted>
  <dcterms:created xsi:type="dcterms:W3CDTF">2024-12-25T09:28:00Z</dcterms:created>
  <dcterms:modified xsi:type="dcterms:W3CDTF">2024-12-26T01:40:00Z</dcterms:modified>
</cp:coreProperties>
</file>