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4E" w:rsidRPr="00E0638B" w:rsidRDefault="001E1E4E">
      <w:pPr>
        <w:jc w:val="center"/>
        <w:rPr>
          <w:rFonts w:ascii="Times New Roman" w:eastAsia="標楷體" w:hAnsi="Times New Roman" w:cs="Times New Roman"/>
          <w:b/>
          <w:sz w:val="28"/>
          <w:szCs w:val="28"/>
        </w:rPr>
      </w:pPr>
      <w:sdt>
        <w:sdtPr>
          <w:rPr>
            <w:rFonts w:ascii="Times New Roman" w:eastAsia="標楷體" w:hAnsi="Times New Roman" w:cs="Times New Roman"/>
          </w:rPr>
          <w:tag w:val="goog_rdk_0"/>
          <w:id w:val="-66194992"/>
        </w:sdtPr>
        <w:sdtEndPr/>
        <w:sdtContent>
          <w:r w:rsidR="00D57A81" w:rsidRPr="00E0638B">
            <w:rPr>
              <w:rFonts w:ascii="Times New Roman" w:eastAsia="標楷體" w:hAnsi="Times New Roman" w:cs="Times New Roman"/>
              <w:b/>
              <w:sz w:val="28"/>
              <w:szCs w:val="28"/>
            </w:rPr>
            <w:t>南</w:t>
          </w:r>
          <w:proofErr w:type="gramStart"/>
          <w:r w:rsidR="00D57A81" w:rsidRPr="00E0638B">
            <w:rPr>
              <w:rFonts w:ascii="Times New Roman" w:eastAsia="標楷體" w:hAnsi="Times New Roman" w:cs="Times New Roman"/>
              <w:b/>
              <w:sz w:val="28"/>
              <w:szCs w:val="28"/>
            </w:rPr>
            <w:t>臺</w:t>
          </w:r>
          <w:proofErr w:type="gramEnd"/>
          <w:r w:rsidR="00D57A81" w:rsidRPr="00E0638B">
            <w:rPr>
              <w:rFonts w:ascii="Times New Roman" w:eastAsia="標楷體" w:hAnsi="Times New Roman" w:cs="Times New Roman"/>
              <w:b/>
              <w:sz w:val="28"/>
              <w:szCs w:val="28"/>
            </w:rPr>
            <w:t>科技大學經營管理博士學位學程修業規定（</w:t>
          </w:r>
          <w:r w:rsidR="00D57A81" w:rsidRPr="00E0638B">
            <w:rPr>
              <w:rFonts w:ascii="Times New Roman" w:eastAsia="標楷體" w:hAnsi="Times New Roman" w:cs="Times New Roman"/>
              <w:b/>
              <w:sz w:val="28"/>
              <w:szCs w:val="28"/>
            </w:rPr>
            <w:t>11</w:t>
          </w:r>
          <w:r w:rsidR="00CA1938">
            <w:rPr>
              <w:rFonts w:ascii="Times New Roman" w:eastAsia="標楷體" w:hAnsi="Times New Roman" w:cs="Times New Roman" w:hint="eastAsia"/>
              <w:b/>
              <w:sz w:val="28"/>
              <w:szCs w:val="28"/>
            </w:rPr>
            <w:t>3</w:t>
          </w:r>
          <w:r w:rsidR="00D57A81" w:rsidRPr="00E0638B">
            <w:rPr>
              <w:rFonts w:ascii="Times New Roman" w:eastAsia="標楷體" w:hAnsi="Times New Roman" w:cs="Times New Roman"/>
              <w:b/>
              <w:sz w:val="28"/>
              <w:szCs w:val="28"/>
            </w:rPr>
            <w:t>學年入學適用）</w:t>
          </w:r>
        </w:sdtContent>
      </w:sdt>
    </w:p>
    <w:p w:rsidR="00556F4E" w:rsidRPr="00E0638B" w:rsidRDefault="00D57A81">
      <w:pPr>
        <w:jc w:val="center"/>
        <w:rPr>
          <w:rFonts w:ascii="Times New Roman" w:eastAsia="標楷體" w:hAnsi="Times New Roman" w:cs="Times New Roman"/>
          <w:b/>
          <w:sz w:val="23"/>
          <w:szCs w:val="23"/>
        </w:rPr>
      </w:pPr>
      <w:r w:rsidRPr="00E0638B">
        <w:rPr>
          <w:rFonts w:ascii="Times New Roman" w:eastAsia="標楷體" w:hAnsi="Times New Roman" w:cs="Times New Roman"/>
          <w:b/>
          <w:sz w:val="23"/>
          <w:szCs w:val="23"/>
        </w:rPr>
        <w:t>Requirements for Students of the Ph. D. Program in Business and Management, STUST</w:t>
      </w:r>
    </w:p>
    <w:p w:rsidR="00556F4E" w:rsidRPr="00E0638B" w:rsidRDefault="00D57A81">
      <w:pPr>
        <w:jc w:val="center"/>
        <w:rPr>
          <w:rFonts w:ascii="Times New Roman" w:eastAsia="標楷體" w:hAnsi="Times New Roman" w:cs="Times New Roman"/>
          <w:b/>
          <w:sz w:val="23"/>
          <w:szCs w:val="23"/>
        </w:rPr>
      </w:pPr>
      <w:r w:rsidRPr="00E0638B">
        <w:rPr>
          <w:rFonts w:ascii="Times New Roman" w:eastAsia="標楷體" w:hAnsi="Times New Roman" w:cs="Times New Roman"/>
          <w:b/>
          <w:sz w:val="23"/>
          <w:szCs w:val="23"/>
        </w:rPr>
        <w:t>For students enrolled in the academic year of 11</w:t>
      </w:r>
      <w:r w:rsidR="00DE6F6E">
        <w:rPr>
          <w:rFonts w:ascii="Times New Roman" w:eastAsia="標楷體" w:hAnsi="Times New Roman" w:cs="Times New Roman"/>
          <w:b/>
          <w:sz w:val="23"/>
          <w:szCs w:val="23"/>
        </w:rPr>
        <w:t>3</w:t>
      </w:r>
      <w:r w:rsidRPr="00E0638B">
        <w:rPr>
          <w:rFonts w:ascii="Times New Roman" w:eastAsia="標楷體" w:hAnsi="Times New Roman" w:cs="Times New Roman"/>
          <w:b/>
          <w:sz w:val="23"/>
          <w:szCs w:val="23"/>
        </w:rPr>
        <w:t xml:space="preserve"> (202</w:t>
      </w:r>
      <w:r w:rsidR="00CA1938">
        <w:rPr>
          <w:rFonts w:ascii="Times New Roman" w:eastAsia="標楷體" w:hAnsi="Times New Roman" w:cs="Times New Roman" w:hint="eastAsia"/>
          <w:b/>
          <w:sz w:val="23"/>
          <w:szCs w:val="23"/>
        </w:rPr>
        <w:t>4</w:t>
      </w:r>
      <w:r w:rsidRPr="00E0638B">
        <w:rPr>
          <w:rFonts w:ascii="Times New Roman" w:eastAsia="標楷體" w:hAnsi="Times New Roman" w:cs="Times New Roman"/>
          <w:b/>
          <w:sz w:val="23"/>
          <w:szCs w:val="23"/>
        </w:rPr>
        <w:t>/08/01-202</w:t>
      </w:r>
      <w:r w:rsidR="00CA1938">
        <w:rPr>
          <w:rFonts w:ascii="Times New Roman" w:eastAsia="標楷體" w:hAnsi="Times New Roman" w:cs="Times New Roman" w:hint="eastAsia"/>
          <w:b/>
          <w:sz w:val="23"/>
          <w:szCs w:val="23"/>
        </w:rPr>
        <w:t>5</w:t>
      </w:r>
      <w:r w:rsidRPr="00E0638B">
        <w:rPr>
          <w:rFonts w:ascii="Times New Roman" w:eastAsia="標楷體" w:hAnsi="Times New Roman" w:cs="Times New Roman"/>
          <w:b/>
          <w:sz w:val="23"/>
          <w:szCs w:val="23"/>
        </w:rPr>
        <w:t>/07/31)</w:t>
      </w:r>
    </w:p>
    <w:tbl>
      <w:tblPr>
        <w:tblStyle w:val="af8"/>
        <w:tblW w:w="10483"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66"/>
        <w:gridCol w:w="8017"/>
      </w:tblGrid>
      <w:tr w:rsidR="00556F4E" w:rsidRPr="00E0638B" w:rsidTr="00837771">
        <w:trPr>
          <w:tblHeade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b/>
              </w:rPr>
            </w:pPr>
            <w:r w:rsidRPr="00E0638B">
              <w:rPr>
                <w:rFonts w:ascii="Times New Roman" w:eastAsia="標楷體" w:hAnsi="Times New Roman" w:cs="Times New Roman"/>
                <w:b/>
              </w:rPr>
              <w:t>項目</w:t>
            </w:r>
          </w:p>
          <w:p w:rsidR="00556F4E" w:rsidRPr="00E0638B" w:rsidRDefault="00D57A81">
            <w:pPr>
              <w:jc w:val="center"/>
              <w:rPr>
                <w:rFonts w:ascii="Times New Roman" w:eastAsia="標楷體" w:hAnsi="Times New Roman" w:cs="Times New Roman"/>
                <w:b/>
              </w:rPr>
            </w:pPr>
            <w:r w:rsidRPr="00E0638B">
              <w:rPr>
                <w:rFonts w:ascii="Times New Roman" w:eastAsia="標楷體" w:hAnsi="Times New Roman" w:cs="Times New Roman"/>
                <w:b/>
              </w:rPr>
              <w:t>Requirements</w:t>
            </w:r>
          </w:p>
        </w:tc>
        <w:tc>
          <w:tcPr>
            <w:tcW w:w="8017" w:type="dxa"/>
            <w:shd w:val="clear" w:color="auto" w:fill="auto"/>
            <w:vAlign w:val="center"/>
          </w:tcPr>
          <w:p w:rsidR="00556F4E" w:rsidRPr="00E0638B" w:rsidRDefault="00D57A81">
            <w:pPr>
              <w:jc w:val="center"/>
              <w:rPr>
                <w:rFonts w:ascii="Times New Roman" w:eastAsia="標楷體" w:hAnsi="Times New Roman" w:cs="Times New Roman"/>
                <w:b/>
              </w:rPr>
            </w:pPr>
            <w:r w:rsidRPr="00E0638B">
              <w:rPr>
                <w:rFonts w:ascii="Times New Roman" w:eastAsia="標楷體" w:hAnsi="Times New Roman" w:cs="Times New Roman"/>
                <w:b/>
              </w:rPr>
              <w:t>說</w:t>
            </w:r>
            <w:r w:rsidRPr="00E0638B">
              <w:rPr>
                <w:rFonts w:ascii="Times New Roman" w:eastAsia="標楷體" w:hAnsi="Times New Roman" w:cs="Times New Roman"/>
                <w:b/>
              </w:rPr>
              <w:t xml:space="preserve">    </w:t>
            </w:r>
            <w:r w:rsidRPr="00E0638B">
              <w:rPr>
                <w:rFonts w:ascii="Times New Roman" w:eastAsia="標楷體" w:hAnsi="Times New Roman" w:cs="Times New Roman"/>
                <w:b/>
              </w:rPr>
              <w:t>明</w:t>
            </w:r>
          </w:p>
          <w:p w:rsidR="00556F4E" w:rsidRPr="00E0638B" w:rsidRDefault="00D57A81">
            <w:pPr>
              <w:jc w:val="center"/>
              <w:rPr>
                <w:rFonts w:ascii="Times New Roman" w:eastAsia="標楷體" w:hAnsi="Times New Roman" w:cs="Times New Roman"/>
                <w:b/>
              </w:rPr>
            </w:pPr>
            <w:r w:rsidRPr="00E0638B">
              <w:rPr>
                <w:rFonts w:ascii="Times New Roman" w:eastAsia="標楷體" w:hAnsi="Times New Roman" w:cs="Times New Roman"/>
                <w:b/>
              </w:rPr>
              <w:t xml:space="preserve">Descriptions </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修業年限</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Duration of Study</w:t>
            </w:r>
          </w:p>
        </w:tc>
        <w:tc>
          <w:tcPr>
            <w:tcW w:w="8017" w:type="dxa"/>
            <w:shd w:val="clear" w:color="auto" w:fill="auto"/>
          </w:tcPr>
          <w:p w:rsidR="00556F4E" w:rsidRPr="00E0638B" w:rsidRDefault="00D57A81">
            <w:pPr>
              <w:rPr>
                <w:rFonts w:ascii="Times New Roman" w:eastAsia="標楷體" w:hAnsi="Times New Roman" w:cs="Times New Roman"/>
              </w:rPr>
            </w:pPr>
            <w:r w:rsidRPr="00E0638B">
              <w:rPr>
                <w:rFonts w:ascii="Times New Roman" w:eastAsia="標楷體" w:hAnsi="Times New Roman" w:cs="Times New Roman"/>
              </w:rPr>
              <w:t>2-7</w:t>
            </w:r>
            <w:r w:rsidRPr="00E0638B">
              <w:rPr>
                <w:rFonts w:ascii="Times New Roman" w:eastAsia="標楷體" w:hAnsi="Times New Roman" w:cs="Times New Roman"/>
              </w:rPr>
              <w:t>年</w:t>
            </w:r>
          </w:p>
          <w:p w:rsidR="00556F4E" w:rsidRPr="00E0638B" w:rsidRDefault="00D57A81">
            <w:pPr>
              <w:spacing w:before="60"/>
              <w:rPr>
                <w:rFonts w:ascii="Times New Roman" w:eastAsia="標楷體" w:hAnsi="Times New Roman" w:cs="Times New Roman"/>
              </w:rPr>
            </w:pPr>
            <w:r w:rsidRPr="00E0638B">
              <w:rPr>
                <w:rFonts w:ascii="Times New Roman" w:eastAsia="標楷體" w:hAnsi="Times New Roman" w:cs="Times New Roman"/>
              </w:rPr>
              <w:t>2-7 years</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應修學分數</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Minimum Course Credits</w:t>
            </w:r>
          </w:p>
        </w:tc>
        <w:tc>
          <w:tcPr>
            <w:tcW w:w="8017" w:type="dxa"/>
            <w:shd w:val="clear" w:color="auto" w:fill="auto"/>
          </w:tcPr>
          <w:p w:rsidR="00556F4E" w:rsidRPr="00E0638B" w:rsidRDefault="00D57A81">
            <w:pPr>
              <w:rPr>
                <w:rFonts w:ascii="Times New Roman" w:eastAsia="標楷體" w:hAnsi="Times New Roman" w:cs="Times New Roman"/>
              </w:rPr>
            </w:pPr>
            <w:r w:rsidRPr="00E0638B">
              <w:rPr>
                <w:rFonts w:ascii="Times New Roman" w:eastAsia="標楷體" w:hAnsi="Times New Roman" w:cs="Times New Roman"/>
              </w:rPr>
              <w:t>40</w:t>
            </w:r>
            <w:r w:rsidRPr="00E0638B">
              <w:rPr>
                <w:rFonts w:ascii="Times New Roman" w:eastAsia="標楷體" w:hAnsi="Times New Roman" w:cs="Times New Roman"/>
              </w:rPr>
              <w:t>學分（不含博士論文</w:t>
            </w:r>
            <w:r w:rsidRPr="00E0638B">
              <w:rPr>
                <w:rFonts w:ascii="Times New Roman" w:eastAsia="標楷體" w:hAnsi="Times New Roman" w:cs="Times New Roman"/>
              </w:rPr>
              <w:t>6</w:t>
            </w:r>
            <w:r w:rsidRPr="00E0638B">
              <w:rPr>
                <w:rFonts w:ascii="Times New Roman" w:eastAsia="標楷體" w:hAnsi="Times New Roman" w:cs="Times New Roman"/>
              </w:rPr>
              <w:t>學分）</w:t>
            </w:r>
          </w:p>
          <w:p w:rsidR="00556F4E" w:rsidRPr="00E0638B" w:rsidRDefault="00D57A81">
            <w:pPr>
              <w:rPr>
                <w:rFonts w:ascii="Times New Roman" w:eastAsia="標楷體" w:hAnsi="Times New Roman" w:cs="Times New Roman"/>
              </w:rPr>
            </w:pPr>
            <w:r w:rsidRPr="00E0638B">
              <w:rPr>
                <w:rFonts w:ascii="Times New Roman" w:eastAsia="標楷體" w:hAnsi="Times New Roman" w:cs="Times New Roman"/>
              </w:rPr>
              <w:t>40 course credits excluding 6 credits of the dissertation are required.</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必修課程</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Obligatory Credits</w:t>
            </w:r>
          </w:p>
        </w:tc>
        <w:tc>
          <w:tcPr>
            <w:tcW w:w="8017" w:type="dxa"/>
            <w:shd w:val="clear" w:color="auto" w:fill="auto"/>
            <w:vAlign w:val="center"/>
          </w:tcPr>
          <w:p w:rsidR="00556F4E" w:rsidRPr="00E0638B" w:rsidRDefault="00D57A81">
            <w:pPr>
              <w:rPr>
                <w:rFonts w:ascii="Times New Roman" w:eastAsia="標楷體" w:hAnsi="Times New Roman" w:cs="Times New Roman"/>
              </w:rPr>
            </w:pPr>
            <w:r w:rsidRPr="00E0638B">
              <w:rPr>
                <w:rFonts w:ascii="Times New Roman" w:eastAsia="標楷體" w:hAnsi="Times New Roman" w:cs="Times New Roman"/>
                <w:b/>
              </w:rPr>
              <w:t>高等企業研究方法、當代企業問題研討、高等管理理論、高等作業管理、高等數量方法</w:t>
            </w:r>
            <w:r w:rsidRPr="00E0638B">
              <w:rPr>
                <w:rFonts w:ascii="Times New Roman" w:eastAsia="標楷體" w:hAnsi="Times New Roman" w:cs="Times New Roman"/>
              </w:rPr>
              <w:t>，共</w:t>
            </w:r>
            <w:r w:rsidRPr="00E0638B">
              <w:rPr>
                <w:rFonts w:ascii="Times New Roman" w:eastAsia="標楷體" w:hAnsi="Times New Roman" w:cs="Times New Roman"/>
              </w:rPr>
              <w:t>1</w:t>
            </w:r>
            <w:r w:rsidR="00CA1938">
              <w:rPr>
                <w:rFonts w:ascii="Times New Roman" w:eastAsia="標楷體" w:hAnsi="Times New Roman" w:cs="Times New Roman" w:hint="eastAsia"/>
              </w:rPr>
              <w:t>5</w:t>
            </w:r>
            <w:r w:rsidRPr="00E0638B">
              <w:rPr>
                <w:rFonts w:ascii="Times New Roman" w:eastAsia="標楷體" w:hAnsi="Times New Roman" w:cs="Times New Roman"/>
              </w:rPr>
              <w:t>學分。</w:t>
            </w:r>
          </w:p>
          <w:p w:rsidR="00556F4E" w:rsidRPr="00E0638B" w:rsidRDefault="00D57A81">
            <w:pPr>
              <w:spacing w:before="31"/>
              <w:jc w:val="both"/>
              <w:rPr>
                <w:rFonts w:ascii="Times New Roman" w:eastAsia="標楷體" w:hAnsi="Times New Roman" w:cs="Times New Roman"/>
              </w:rPr>
            </w:pPr>
            <w:r w:rsidRPr="00E0638B">
              <w:rPr>
                <w:rFonts w:ascii="Times New Roman" w:eastAsia="標楷體" w:hAnsi="Times New Roman" w:cs="Times New Roman"/>
              </w:rPr>
              <w:t>1</w:t>
            </w:r>
            <w:r w:rsidR="00CA1938">
              <w:rPr>
                <w:rFonts w:ascii="Times New Roman" w:eastAsia="標楷體" w:hAnsi="Times New Roman" w:cs="Times New Roman" w:hint="eastAsia"/>
              </w:rPr>
              <w:t>5</w:t>
            </w:r>
            <w:r w:rsidRPr="00E0638B">
              <w:rPr>
                <w:rFonts w:ascii="Times New Roman" w:eastAsia="標楷體" w:hAnsi="Times New Roman" w:cs="Times New Roman"/>
              </w:rPr>
              <w:t xml:space="preserve"> course credits include </w:t>
            </w:r>
            <w:r w:rsidRPr="00E0638B">
              <w:rPr>
                <w:rFonts w:ascii="Times New Roman" w:eastAsia="標楷體" w:hAnsi="Times New Roman" w:cs="Times New Roman"/>
                <w:b/>
                <w:i/>
              </w:rPr>
              <w:t>Advanced Business Research Methods, Seminar in Contemporary Business Research, Advanced Management Theories, Advanced Operations Management,</w:t>
            </w:r>
            <w:r w:rsidRPr="00E0638B">
              <w:rPr>
                <w:rFonts w:ascii="Times New Roman" w:eastAsia="標楷體" w:hAnsi="Times New Roman" w:cs="Times New Roman"/>
                <w:b/>
              </w:rPr>
              <w:t xml:space="preserve"> </w:t>
            </w:r>
            <w:r w:rsidR="00CA1938">
              <w:rPr>
                <w:rFonts w:ascii="Times New Roman" w:eastAsia="標楷體" w:hAnsi="Times New Roman" w:cs="Times New Roman"/>
                <w:b/>
              </w:rPr>
              <w:t xml:space="preserve">and </w:t>
            </w:r>
            <w:r w:rsidRPr="00E0638B">
              <w:rPr>
                <w:rFonts w:ascii="Times New Roman" w:eastAsia="標楷體" w:hAnsi="Times New Roman" w:cs="Times New Roman"/>
                <w:b/>
                <w:i/>
              </w:rPr>
              <w:t>Advanced Quantitative Methods</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先修課程</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Prerequisite Courses</w:t>
            </w:r>
          </w:p>
        </w:tc>
        <w:tc>
          <w:tcPr>
            <w:tcW w:w="8017" w:type="dxa"/>
            <w:shd w:val="clear" w:color="auto" w:fill="auto"/>
          </w:tcPr>
          <w:p w:rsidR="00556F4E" w:rsidRPr="00E0638B" w:rsidRDefault="00D57A81">
            <w:pPr>
              <w:widowControl/>
              <w:ind w:left="38"/>
              <w:jc w:val="both"/>
              <w:rPr>
                <w:rFonts w:ascii="Times New Roman" w:eastAsia="標楷體" w:hAnsi="Times New Roman" w:cs="Times New Roman"/>
              </w:rPr>
            </w:pPr>
            <w:r w:rsidRPr="00E0638B">
              <w:rPr>
                <w:rFonts w:ascii="Times New Roman" w:eastAsia="標楷體" w:hAnsi="Times New Roman" w:cs="Times New Roman"/>
              </w:rPr>
              <w:t>若入學的學生其碩士學位未具有與管理相關領域之學歷，於在學期間應至本院相關碩士班補修</w:t>
            </w:r>
            <w:r w:rsidRPr="00E0638B">
              <w:rPr>
                <w:rFonts w:ascii="Times New Roman" w:eastAsia="標楷體" w:hAnsi="Times New Roman" w:cs="Times New Roman"/>
              </w:rPr>
              <w:t>(1)</w:t>
            </w:r>
            <w:r w:rsidRPr="00E0638B">
              <w:rPr>
                <w:rFonts w:ascii="Times New Roman" w:eastAsia="標楷體" w:hAnsi="Times New Roman" w:cs="Times New Roman"/>
              </w:rPr>
              <w:t>統計方法與</w:t>
            </w:r>
            <w:r w:rsidRPr="00E0638B">
              <w:rPr>
                <w:rFonts w:ascii="Times New Roman" w:eastAsia="標楷體" w:hAnsi="Times New Roman" w:cs="Times New Roman"/>
              </w:rPr>
              <w:t>(2)</w:t>
            </w:r>
            <w:r w:rsidRPr="00E0638B">
              <w:rPr>
                <w:rFonts w:ascii="Times New Roman" w:eastAsia="標楷體" w:hAnsi="Times New Roman" w:cs="Times New Roman"/>
              </w:rPr>
              <w:t>組織理論與管理等二科管理相關領域之課程，且不計入畢業學分。</w:t>
            </w:r>
          </w:p>
          <w:p w:rsidR="00556F4E" w:rsidRPr="00E0638B" w:rsidRDefault="00D57A81">
            <w:pPr>
              <w:widowControl/>
              <w:spacing w:before="31"/>
              <w:ind w:left="38"/>
              <w:jc w:val="both"/>
              <w:rPr>
                <w:rFonts w:ascii="Times New Roman" w:eastAsia="標楷體" w:hAnsi="Times New Roman" w:cs="Times New Roman"/>
              </w:rPr>
            </w:pPr>
            <w:r w:rsidRPr="00E0638B">
              <w:rPr>
                <w:rFonts w:ascii="Times New Roman" w:eastAsia="標楷體" w:hAnsi="Times New Roman" w:cs="Times New Roman"/>
              </w:rPr>
              <w:t>Students not having management related degrees are requested to make up the following 2 managerial courses: (1) Statistical Methods, and (2) Organization Theory and Management. Prerequisite courses will not be counted as the required graduate credits.</w:t>
            </w:r>
          </w:p>
        </w:tc>
      </w:tr>
      <w:tr w:rsidR="00837771" w:rsidRPr="00E0638B" w:rsidTr="00837771">
        <w:trPr>
          <w:jc w:val="center"/>
        </w:trPr>
        <w:tc>
          <w:tcPr>
            <w:tcW w:w="2466" w:type="dxa"/>
            <w:shd w:val="clear" w:color="auto" w:fill="auto"/>
            <w:vAlign w:val="center"/>
          </w:tcPr>
          <w:p w:rsidR="00837771" w:rsidRPr="0022702A" w:rsidRDefault="00837771" w:rsidP="00837771">
            <w:pPr>
              <w:jc w:val="center"/>
              <w:rPr>
                <w:rFonts w:ascii="Times New Roman" w:eastAsia="標楷體" w:hAnsi="Times New Roman" w:cs="Times New Roman"/>
              </w:rPr>
            </w:pPr>
            <w:r w:rsidRPr="0022702A">
              <w:rPr>
                <w:rFonts w:ascii="Times New Roman" w:eastAsia="標楷體" w:hAnsi="Times New Roman" w:cs="Times New Roman" w:hint="eastAsia"/>
              </w:rPr>
              <w:t>擔任教學</w:t>
            </w:r>
            <w:r w:rsidRPr="0022702A">
              <w:rPr>
                <w:rFonts w:ascii="Times New Roman" w:eastAsia="標楷體" w:hAnsi="Times New Roman" w:cs="Times New Roman" w:hint="eastAsia"/>
              </w:rPr>
              <w:t>/</w:t>
            </w:r>
            <w:r w:rsidRPr="0022702A">
              <w:rPr>
                <w:rFonts w:ascii="Times New Roman" w:eastAsia="標楷體" w:hAnsi="Times New Roman" w:cs="Times New Roman" w:hint="eastAsia"/>
              </w:rPr>
              <w:t>行政助理</w:t>
            </w:r>
          </w:p>
          <w:p w:rsidR="00837771" w:rsidRPr="0022702A" w:rsidRDefault="00837771" w:rsidP="00837771">
            <w:pPr>
              <w:jc w:val="center"/>
              <w:rPr>
                <w:rFonts w:ascii="Times New Roman" w:eastAsia="標楷體" w:hAnsi="Times New Roman" w:cs="Times New Roman"/>
              </w:rPr>
            </w:pPr>
            <w:r w:rsidRPr="0022702A">
              <w:rPr>
                <w:rFonts w:ascii="Times New Roman" w:eastAsia="標楷體" w:hAnsi="Times New Roman" w:cs="Times New Roman"/>
              </w:rPr>
              <w:t>Being a Teaching/</w:t>
            </w:r>
          </w:p>
          <w:p w:rsidR="00837771" w:rsidRPr="007C722F" w:rsidRDefault="00837771" w:rsidP="00837771">
            <w:pPr>
              <w:jc w:val="center"/>
              <w:rPr>
                <w:rFonts w:ascii="Times New Roman" w:eastAsia="標楷體" w:hAnsi="Times New Roman" w:cs="Times New Roman"/>
                <w:highlight w:val="yellow"/>
              </w:rPr>
            </w:pPr>
            <w:r w:rsidRPr="0022702A">
              <w:rPr>
                <w:rFonts w:ascii="Times New Roman" w:eastAsia="標楷體" w:hAnsi="Times New Roman" w:cs="Times New Roman"/>
              </w:rPr>
              <w:t>Administrative Assistant</w:t>
            </w:r>
          </w:p>
        </w:tc>
        <w:tc>
          <w:tcPr>
            <w:tcW w:w="8017" w:type="dxa"/>
            <w:shd w:val="clear" w:color="auto" w:fill="auto"/>
          </w:tcPr>
          <w:p w:rsidR="00837771" w:rsidRDefault="00837771" w:rsidP="00837771">
            <w:pPr>
              <w:widowControl/>
              <w:ind w:left="40"/>
              <w:jc w:val="both"/>
              <w:rPr>
                <w:rFonts w:ascii="Times New Roman" w:eastAsia="標楷體" w:hAnsi="Times New Roman" w:cs="Times New Roman"/>
              </w:rPr>
            </w:pPr>
            <w:r w:rsidRPr="005407C6">
              <w:rPr>
                <w:rFonts w:ascii="Times New Roman" w:eastAsia="標楷體" w:hAnsi="Times New Roman" w:cs="Times New Roman"/>
              </w:rPr>
              <w:t>學生於入學後之前兩學年，須協助擔任商管學院全英授課課程之</w:t>
            </w:r>
            <w:r>
              <w:rPr>
                <w:rFonts w:ascii="Times New Roman" w:eastAsia="標楷體" w:hAnsi="Times New Roman" w:cs="Times New Roman" w:hint="eastAsia"/>
              </w:rPr>
              <w:t>教學助理</w:t>
            </w:r>
            <w:r w:rsidRPr="005407C6">
              <w:rPr>
                <w:rFonts w:ascii="Times New Roman" w:eastAsia="標楷體" w:hAnsi="Times New Roman" w:cs="Times New Roman" w:hint="eastAsia"/>
              </w:rPr>
              <w:t>，或是</w:t>
            </w:r>
            <w:r w:rsidRPr="005407C6">
              <w:rPr>
                <w:rFonts w:ascii="Times New Roman" w:eastAsia="標楷體" w:hAnsi="Times New Roman" w:cs="Times New Roman"/>
              </w:rPr>
              <w:t>商管學院</w:t>
            </w:r>
            <w:r w:rsidRPr="005407C6">
              <w:rPr>
                <w:rFonts w:ascii="Times New Roman" w:eastAsia="標楷體" w:hAnsi="Times New Roman" w:cs="Times New Roman" w:hint="eastAsia"/>
              </w:rPr>
              <w:t>辦公室之行政</w:t>
            </w:r>
            <w:r>
              <w:rPr>
                <w:rFonts w:ascii="Times New Roman" w:eastAsia="標楷體" w:hAnsi="Times New Roman" w:cs="Times New Roman" w:hint="eastAsia"/>
              </w:rPr>
              <w:t>助理。</w:t>
            </w:r>
            <w:r w:rsidRPr="008A55EB">
              <w:rPr>
                <w:rFonts w:ascii="Times New Roman" w:eastAsia="標楷體" w:hAnsi="Times New Roman" w:cs="Times New Roman" w:hint="eastAsia"/>
              </w:rPr>
              <w:t>特殊情況經院長初步審核同意免除擔任</w:t>
            </w:r>
            <w:r>
              <w:rPr>
                <w:rFonts w:ascii="Times New Roman" w:eastAsia="標楷體" w:hAnsi="Times New Roman" w:cs="Times New Roman" w:hint="eastAsia"/>
              </w:rPr>
              <w:t>者</w:t>
            </w:r>
            <w:r w:rsidRPr="008A55EB">
              <w:rPr>
                <w:rFonts w:ascii="Times New Roman" w:eastAsia="標楷體" w:hAnsi="Times New Roman" w:cs="Times New Roman" w:hint="eastAsia"/>
              </w:rPr>
              <w:t>，</w:t>
            </w:r>
            <w:r>
              <w:rPr>
                <w:rFonts w:ascii="Times New Roman" w:eastAsia="標楷體" w:hAnsi="Times New Roman" w:cs="Times New Roman" w:hint="eastAsia"/>
              </w:rPr>
              <w:t>其名單</w:t>
            </w:r>
            <w:r w:rsidRPr="008A55EB">
              <w:rPr>
                <w:rFonts w:ascii="Times New Roman" w:eastAsia="標楷體" w:hAnsi="Times New Roman" w:cs="Times New Roman" w:hint="eastAsia"/>
              </w:rPr>
              <w:t>需再送</w:t>
            </w:r>
            <w:proofErr w:type="gramStart"/>
            <w:r w:rsidRPr="008A55EB">
              <w:rPr>
                <w:rFonts w:ascii="Times New Roman" w:eastAsia="標楷體" w:hAnsi="Times New Roman" w:cs="Times New Roman" w:hint="eastAsia"/>
              </w:rPr>
              <w:t>入</w:t>
            </w:r>
            <w:r>
              <w:rPr>
                <w:rFonts w:ascii="Times New Roman" w:eastAsia="標楷體" w:hAnsi="Times New Roman" w:cs="Times New Roman" w:hint="eastAsia"/>
              </w:rPr>
              <w:t>博班委員會</w:t>
            </w:r>
            <w:r w:rsidRPr="008A55EB">
              <w:rPr>
                <w:rFonts w:ascii="Times New Roman" w:eastAsia="標楷體" w:hAnsi="Times New Roman" w:cs="Times New Roman" w:hint="eastAsia"/>
              </w:rPr>
              <w:t>複</w:t>
            </w:r>
            <w:proofErr w:type="gramEnd"/>
            <w:r w:rsidRPr="008A55EB">
              <w:rPr>
                <w:rFonts w:ascii="Times New Roman" w:eastAsia="標楷體" w:hAnsi="Times New Roman" w:cs="Times New Roman" w:hint="eastAsia"/>
              </w:rPr>
              <w:t>審，以確定可免除擔任</w:t>
            </w:r>
            <w:r w:rsidRPr="005407C6">
              <w:rPr>
                <w:rFonts w:ascii="Times New Roman" w:eastAsia="標楷體" w:hAnsi="Times New Roman" w:cs="Times New Roman"/>
              </w:rPr>
              <w:t>。</w:t>
            </w:r>
          </w:p>
          <w:p w:rsidR="00837771" w:rsidRPr="0022702A" w:rsidRDefault="00837771" w:rsidP="00837771">
            <w:pPr>
              <w:widowControl/>
              <w:ind w:left="40"/>
              <w:jc w:val="both"/>
              <w:rPr>
                <w:rFonts w:ascii="Times New Roman" w:eastAsia="標楷體" w:hAnsi="Times New Roman" w:cs="Times New Roman"/>
              </w:rPr>
            </w:pPr>
            <w:r w:rsidRPr="0022702A">
              <w:rPr>
                <w:rFonts w:ascii="Times New Roman" w:hAnsi="Times New Roman" w:cs="Times New Roman"/>
              </w:rPr>
              <w:t>During the first two academic years of enrollment, students are required to serve as teaching assistants for English-taught courses in the College of Business or as administrative assistants in the College of Business Office. In exceptional circumstances, exemptions may be granted upon preliminary approval by the Dean. Such exemption lists must be submitted to the Ph.D. Program Committee for further review and final confirmation.</w:t>
            </w:r>
          </w:p>
        </w:tc>
      </w:tr>
      <w:tr w:rsidR="000766D5" w:rsidRPr="00E0638B" w:rsidTr="00837771">
        <w:trPr>
          <w:jc w:val="center"/>
        </w:trPr>
        <w:tc>
          <w:tcPr>
            <w:tcW w:w="2466" w:type="dxa"/>
            <w:shd w:val="clear" w:color="auto" w:fill="auto"/>
            <w:vAlign w:val="center"/>
          </w:tcPr>
          <w:p w:rsidR="000766D5" w:rsidRPr="000766D5" w:rsidRDefault="000766D5" w:rsidP="000766D5">
            <w:pPr>
              <w:snapToGrid w:val="0"/>
              <w:spacing w:line="300" w:lineRule="exact"/>
              <w:jc w:val="center"/>
              <w:rPr>
                <w:rFonts w:ascii="Times New Roman" w:eastAsia="標楷體" w:hAnsi="Times New Roman" w:cs="Times New Roman"/>
              </w:rPr>
            </w:pPr>
            <w:r w:rsidRPr="000766D5">
              <w:rPr>
                <w:rFonts w:ascii="Times New Roman" w:eastAsia="標楷體" w:hAnsi="Times New Roman" w:cs="Times New Roman"/>
              </w:rPr>
              <w:t>學術研究倫理</w:t>
            </w:r>
          </w:p>
          <w:p w:rsidR="000766D5" w:rsidRPr="000766D5" w:rsidRDefault="000766D5" w:rsidP="000766D5">
            <w:pPr>
              <w:snapToGrid w:val="0"/>
              <w:spacing w:line="300" w:lineRule="exact"/>
              <w:jc w:val="center"/>
              <w:rPr>
                <w:rFonts w:ascii="Times New Roman" w:eastAsia="標楷體" w:hAnsi="Times New Roman" w:cs="Times New Roman"/>
              </w:rPr>
            </w:pPr>
            <w:r w:rsidRPr="000766D5">
              <w:rPr>
                <w:rFonts w:ascii="Times New Roman" w:eastAsia="標楷體" w:hAnsi="Times New Roman" w:cs="Times New Roman"/>
              </w:rPr>
              <w:t>教育課程</w:t>
            </w:r>
          </w:p>
          <w:p w:rsidR="000766D5" w:rsidRPr="000766D5" w:rsidRDefault="000766D5" w:rsidP="000766D5">
            <w:pPr>
              <w:snapToGrid w:val="0"/>
              <w:spacing w:line="300" w:lineRule="exact"/>
              <w:jc w:val="center"/>
              <w:rPr>
                <w:rFonts w:ascii="Times New Roman" w:eastAsia="標楷體" w:hAnsi="Times New Roman" w:cs="Times New Roman"/>
              </w:rPr>
            </w:pPr>
            <w:r w:rsidRPr="000766D5">
              <w:rPr>
                <w:rFonts w:ascii="Times New Roman" w:eastAsia="標楷體" w:hAnsi="Times New Roman" w:cs="Times New Roman"/>
              </w:rPr>
              <w:t>Research Ethics Education Online Program</w:t>
            </w:r>
          </w:p>
        </w:tc>
        <w:tc>
          <w:tcPr>
            <w:tcW w:w="8017" w:type="dxa"/>
            <w:shd w:val="clear" w:color="auto" w:fill="auto"/>
          </w:tcPr>
          <w:p w:rsidR="000766D5" w:rsidRPr="000766D5" w:rsidRDefault="000766D5" w:rsidP="000766D5">
            <w:pPr>
              <w:snapToGrid w:val="0"/>
              <w:spacing w:line="300" w:lineRule="exact"/>
              <w:jc w:val="both"/>
              <w:rPr>
                <w:rFonts w:ascii="Times New Roman" w:eastAsia="標楷體" w:hAnsi="Times New Roman" w:cs="Times New Roman"/>
              </w:rPr>
            </w:pPr>
            <w:r w:rsidRPr="000766D5">
              <w:rPr>
                <w:rFonts w:ascii="Times New Roman" w:eastAsia="標楷體" w:hAnsi="Times New Roman" w:cs="Times New Roman"/>
              </w:rPr>
              <w:t>研究生</w:t>
            </w:r>
            <w:proofErr w:type="gramStart"/>
            <w:r w:rsidRPr="000766D5">
              <w:rPr>
                <w:rFonts w:ascii="Times New Roman" w:eastAsia="標楷體" w:hAnsi="Times New Roman" w:cs="Times New Roman"/>
              </w:rPr>
              <w:t>需線上</w:t>
            </w:r>
            <w:proofErr w:type="gramEnd"/>
            <w:r w:rsidRPr="000766D5">
              <w:rPr>
                <w:rFonts w:ascii="Times New Roman" w:eastAsia="標楷體" w:hAnsi="Times New Roman" w:cs="Times New Roman"/>
              </w:rPr>
              <w:t>修讀學術研究倫理教育課程</w:t>
            </w:r>
            <w:r w:rsidRPr="000766D5">
              <w:rPr>
                <w:rFonts w:ascii="Times New Roman" w:eastAsia="標楷體" w:hAnsi="Times New Roman" w:cs="Times New Roman"/>
              </w:rPr>
              <w:t>(https://ethics.moe.edu.tw/)</w:t>
            </w:r>
            <w:r w:rsidRPr="000766D5">
              <w:rPr>
                <w:rFonts w:ascii="Times New Roman" w:eastAsia="標楷體" w:hAnsi="Times New Roman" w:cs="Times New Roman"/>
              </w:rPr>
              <w:t>，線</w:t>
            </w:r>
          </w:p>
          <w:p w:rsidR="000766D5" w:rsidRPr="000766D5" w:rsidRDefault="000766D5" w:rsidP="000766D5">
            <w:pPr>
              <w:snapToGrid w:val="0"/>
              <w:spacing w:line="300" w:lineRule="exact"/>
              <w:jc w:val="both"/>
              <w:rPr>
                <w:rFonts w:ascii="Times New Roman" w:eastAsia="標楷體" w:hAnsi="Times New Roman" w:cs="Times New Roman"/>
              </w:rPr>
            </w:pPr>
            <w:r w:rsidRPr="000766D5">
              <w:rPr>
                <w:rFonts w:ascii="Times New Roman" w:eastAsia="標楷體" w:hAnsi="Times New Roman" w:cs="Times New Roman"/>
              </w:rPr>
              <w:t>上通過測驗後臺灣學術倫理教育資源中心會</w:t>
            </w:r>
            <w:proofErr w:type="gramStart"/>
            <w:r w:rsidRPr="000766D5">
              <w:rPr>
                <w:rFonts w:ascii="Times New Roman" w:eastAsia="標楷體" w:hAnsi="Times New Roman" w:cs="Times New Roman"/>
              </w:rPr>
              <w:t>發予修課</w:t>
            </w:r>
            <w:proofErr w:type="gramEnd"/>
            <w:r w:rsidRPr="000766D5">
              <w:rPr>
                <w:rFonts w:ascii="Times New Roman" w:eastAsia="標楷體" w:hAnsi="Times New Roman" w:cs="Times New Roman"/>
              </w:rPr>
              <w:t>證明；研究生進行論文計畫書審查前需取得臺灣學術倫理教育資源中心修課證明。</w:t>
            </w:r>
          </w:p>
          <w:p w:rsidR="000766D5" w:rsidRPr="000766D5" w:rsidRDefault="000766D5" w:rsidP="000766D5">
            <w:pPr>
              <w:snapToGrid w:val="0"/>
              <w:spacing w:line="300" w:lineRule="exact"/>
              <w:jc w:val="both"/>
              <w:rPr>
                <w:rFonts w:ascii="Times New Roman" w:eastAsia="標楷體" w:hAnsi="Times New Roman" w:cs="Times New Roman"/>
              </w:rPr>
            </w:pPr>
            <w:r w:rsidRPr="000766D5">
              <w:rPr>
                <w:rFonts w:ascii="Times New Roman" w:eastAsia="標楷體" w:hAnsi="Times New Roman" w:cs="Times New Roman"/>
              </w:rPr>
              <w:t>Graduate students must finish the Research Ethics Education Online Program (https://ethics.moe.edu.tw/) and pass the course final exam, getting the certificate of the Research Ethics Education Center before raising the thesis proposal hearing.</w:t>
            </w:r>
          </w:p>
        </w:tc>
      </w:tr>
      <w:tr w:rsidR="000766D5" w:rsidRPr="00E0638B" w:rsidTr="00837771">
        <w:trPr>
          <w:jc w:val="center"/>
        </w:trPr>
        <w:tc>
          <w:tcPr>
            <w:tcW w:w="2466" w:type="dxa"/>
            <w:shd w:val="clear" w:color="auto" w:fill="auto"/>
            <w:vAlign w:val="center"/>
          </w:tcPr>
          <w:p w:rsidR="000766D5" w:rsidRPr="000766D5" w:rsidRDefault="000766D5" w:rsidP="000766D5">
            <w:pPr>
              <w:snapToGrid w:val="0"/>
              <w:spacing w:line="300" w:lineRule="exact"/>
              <w:jc w:val="center"/>
              <w:rPr>
                <w:rFonts w:ascii="Times New Roman" w:eastAsia="標楷體" w:hAnsi="Times New Roman" w:cs="Times New Roman"/>
              </w:rPr>
            </w:pPr>
            <w:r w:rsidRPr="000766D5">
              <w:rPr>
                <w:rFonts w:ascii="Times New Roman" w:eastAsia="標楷體" w:hAnsi="Times New Roman" w:cs="Times New Roman"/>
              </w:rPr>
              <w:t xml:space="preserve">Turnitin </w:t>
            </w:r>
            <w:r w:rsidRPr="000766D5">
              <w:rPr>
                <w:rFonts w:ascii="Times New Roman" w:eastAsia="標楷體" w:hAnsi="Times New Roman" w:cs="Times New Roman"/>
              </w:rPr>
              <w:t>論文原創性比對系統操作說明會</w:t>
            </w:r>
          </w:p>
          <w:p w:rsidR="000766D5" w:rsidRPr="000766D5" w:rsidRDefault="000766D5" w:rsidP="000766D5">
            <w:pPr>
              <w:snapToGrid w:val="0"/>
              <w:spacing w:line="300" w:lineRule="exact"/>
              <w:jc w:val="center"/>
              <w:rPr>
                <w:rFonts w:ascii="Times New Roman" w:eastAsia="標楷體" w:hAnsi="Times New Roman" w:cs="Times New Roman"/>
              </w:rPr>
            </w:pPr>
            <w:r w:rsidRPr="000766D5">
              <w:rPr>
                <w:rFonts w:ascii="Times New Roman" w:eastAsia="標楷體" w:hAnsi="Times New Roman" w:cs="Times New Roman"/>
              </w:rPr>
              <w:t>Turnitin Plagiarism Prevention System Workshop</w:t>
            </w:r>
          </w:p>
        </w:tc>
        <w:tc>
          <w:tcPr>
            <w:tcW w:w="8017" w:type="dxa"/>
            <w:shd w:val="clear" w:color="auto" w:fill="auto"/>
          </w:tcPr>
          <w:p w:rsidR="000766D5" w:rsidRPr="000766D5" w:rsidRDefault="000766D5" w:rsidP="000766D5">
            <w:pPr>
              <w:snapToGrid w:val="0"/>
              <w:spacing w:line="300" w:lineRule="exact"/>
              <w:jc w:val="both"/>
              <w:rPr>
                <w:rFonts w:ascii="Times New Roman" w:eastAsia="標楷體" w:hAnsi="Times New Roman" w:cs="Times New Roman"/>
              </w:rPr>
            </w:pPr>
            <w:r w:rsidRPr="000766D5">
              <w:rPr>
                <w:rFonts w:ascii="Times New Roman" w:eastAsia="標楷體" w:hAnsi="Times New Roman" w:cs="Times New Roman"/>
              </w:rPr>
              <w:t>研究生的學位論文需透過本校圖書館</w:t>
            </w:r>
            <w:r w:rsidRPr="000766D5">
              <w:rPr>
                <w:rFonts w:ascii="Times New Roman" w:eastAsia="標楷體" w:hAnsi="Times New Roman" w:cs="Times New Roman"/>
              </w:rPr>
              <w:t xml:space="preserve"> Turnitin </w:t>
            </w:r>
            <w:r w:rsidRPr="000766D5">
              <w:rPr>
                <w:rFonts w:ascii="Times New Roman" w:eastAsia="標楷體" w:hAnsi="Times New Roman" w:cs="Times New Roman"/>
              </w:rPr>
              <w:t>論文原創性比對系統產生</w:t>
            </w:r>
            <w:r w:rsidRPr="000766D5">
              <w:rPr>
                <w:rFonts w:ascii="Times New Roman" w:eastAsia="標楷體" w:hAnsi="Times New Roman" w:cs="Times New Roman"/>
              </w:rPr>
              <w:t xml:space="preserve"> Turnitin </w:t>
            </w:r>
            <w:r w:rsidRPr="000766D5">
              <w:rPr>
                <w:rFonts w:ascii="Times New Roman" w:eastAsia="標楷體" w:hAnsi="Times New Roman" w:cs="Times New Roman"/>
              </w:rPr>
              <w:t>論文原創性報告，論文原創性報告之比對結果須低於</w:t>
            </w:r>
            <w:r w:rsidRPr="000766D5">
              <w:rPr>
                <w:rFonts w:ascii="Times New Roman" w:eastAsia="標楷體" w:hAnsi="Times New Roman" w:cs="Times New Roman"/>
              </w:rPr>
              <w:t>20%</w:t>
            </w:r>
            <w:r w:rsidRPr="000766D5">
              <w:rPr>
                <w:rFonts w:ascii="Times New Roman" w:eastAsia="標楷體" w:hAnsi="Times New Roman" w:cs="Times New Roman"/>
              </w:rPr>
              <w:t>。</w:t>
            </w:r>
            <w:r w:rsidRPr="000766D5">
              <w:rPr>
                <w:rFonts w:ascii="Times New Roman" w:eastAsia="標楷體" w:hAnsi="Times New Roman" w:cs="Times New Roman"/>
              </w:rPr>
              <w:t xml:space="preserve">Turnitin </w:t>
            </w:r>
            <w:r w:rsidRPr="000766D5">
              <w:rPr>
                <w:rFonts w:ascii="Times New Roman" w:eastAsia="標楷體" w:hAnsi="Times New Roman" w:cs="Times New Roman"/>
              </w:rPr>
              <w:t>論文原創性比對系統操作說明請報名參加圖書館舉辦之「研究生圖書館電子資源利用講習」。</w:t>
            </w:r>
          </w:p>
          <w:p w:rsidR="000766D5" w:rsidRPr="000766D5" w:rsidRDefault="000766D5" w:rsidP="000766D5">
            <w:pPr>
              <w:snapToGrid w:val="0"/>
              <w:spacing w:line="300" w:lineRule="exact"/>
              <w:jc w:val="both"/>
              <w:rPr>
                <w:rFonts w:ascii="Times New Roman" w:eastAsia="標楷體" w:hAnsi="Times New Roman" w:cs="Times New Roman"/>
              </w:rPr>
            </w:pPr>
            <w:r w:rsidRPr="000766D5">
              <w:rPr>
                <w:rFonts w:ascii="Times New Roman" w:eastAsia="標楷體" w:hAnsi="Times New Roman" w:cs="Times New Roman"/>
              </w:rPr>
              <w:t xml:space="preserve">Graduate students should upload their thesis on our library Turnitin Plagiarism Prevention System for original check and get the similarity report. The similarity index shall be below 20%. For more Turnitin information, please join the Library Electronic Resource Workshop. </w:t>
            </w:r>
          </w:p>
        </w:tc>
      </w:tr>
      <w:tr w:rsidR="00837771" w:rsidRPr="00E0638B" w:rsidTr="00837771">
        <w:trPr>
          <w:jc w:val="center"/>
        </w:trPr>
        <w:tc>
          <w:tcPr>
            <w:tcW w:w="2466" w:type="dxa"/>
            <w:shd w:val="clear" w:color="auto" w:fill="auto"/>
            <w:vAlign w:val="center"/>
          </w:tcPr>
          <w:p w:rsidR="00837771" w:rsidRPr="00837771" w:rsidRDefault="00837771" w:rsidP="00837771">
            <w:pPr>
              <w:jc w:val="center"/>
              <w:rPr>
                <w:rFonts w:ascii="Times New Roman" w:eastAsia="標楷體" w:hAnsi="Times New Roman" w:cs="Times New Roman"/>
              </w:rPr>
            </w:pPr>
            <w:r w:rsidRPr="00837771">
              <w:rPr>
                <w:rFonts w:ascii="Times New Roman" w:eastAsia="標楷體" w:hAnsi="Times New Roman" w:cs="Times New Roman" w:hint="eastAsia"/>
              </w:rPr>
              <w:t>論文指導教授</w:t>
            </w:r>
          </w:p>
          <w:p w:rsidR="00837771" w:rsidRPr="00837771" w:rsidRDefault="00837771" w:rsidP="00837771">
            <w:pPr>
              <w:jc w:val="center"/>
              <w:rPr>
                <w:rFonts w:ascii="Times New Roman" w:eastAsia="標楷體" w:hAnsi="Times New Roman" w:cs="Times New Roman"/>
              </w:rPr>
            </w:pPr>
            <w:r w:rsidRPr="00837771">
              <w:rPr>
                <w:rFonts w:ascii="Times New Roman" w:eastAsia="標楷體" w:hAnsi="Times New Roman" w:cs="Times New Roman"/>
              </w:rPr>
              <w:t>Dissertation Advisor</w:t>
            </w:r>
          </w:p>
        </w:tc>
        <w:tc>
          <w:tcPr>
            <w:tcW w:w="8017" w:type="dxa"/>
            <w:shd w:val="clear" w:color="auto" w:fill="auto"/>
          </w:tcPr>
          <w:p w:rsidR="00837771" w:rsidRPr="00837771" w:rsidRDefault="00837771" w:rsidP="00837771">
            <w:pPr>
              <w:widowControl/>
              <w:ind w:left="40"/>
              <w:jc w:val="both"/>
              <w:rPr>
                <w:rFonts w:ascii="Times New Roman" w:eastAsia="標楷體" w:hAnsi="Times New Roman" w:cs="Times New Roman"/>
              </w:rPr>
            </w:pPr>
            <w:r w:rsidRPr="00837771">
              <w:rPr>
                <w:rFonts w:ascii="Times New Roman" w:eastAsia="標楷體" w:hAnsi="Times New Roman" w:cs="Times New Roman" w:hint="eastAsia"/>
              </w:rPr>
              <w:t>博士班學生須於入學第一學期期末考周結束前確認論文指導教授人選。</w:t>
            </w:r>
          </w:p>
          <w:p w:rsidR="00837771" w:rsidRPr="00837771" w:rsidRDefault="00837771" w:rsidP="00837771">
            <w:pPr>
              <w:widowControl/>
              <w:ind w:left="40"/>
              <w:jc w:val="both"/>
              <w:rPr>
                <w:rFonts w:ascii="Times New Roman" w:eastAsia="標楷體" w:hAnsi="Times New Roman" w:cs="Times New Roman"/>
              </w:rPr>
            </w:pPr>
            <w:r w:rsidRPr="00837771">
              <w:rPr>
                <w:rFonts w:ascii="Times New Roman" w:eastAsia="標楷體" w:hAnsi="Times New Roman" w:cs="Times New Roman"/>
              </w:rPr>
              <w:t xml:space="preserve">Ph.D. students must select an advisor prior to the </w:t>
            </w:r>
            <w:r w:rsidRPr="00837771">
              <w:rPr>
                <w:rFonts w:ascii="Times New Roman" w:eastAsia="標楷體" w:hAnsi="Times New Roman" w:cs="Times New Roman" w:hint="eastAsia"/>
              </w:rPr>
              <w:t>e</w:t>
            </w:r>
            <w:r w:rsidRPr="00837771">
              <w:rPr>
                <w:rFonts w:ascii="Times New Roman" w:eastAsia="標楷體" w:hAnsi="Times New Roman" w:cs="Times New Roman"/>
              </w:rPr>
              <w:t>nd of the final (18</w:t>
            </w:r>
            <w:r w:rsidRPr="00837771">
              <w:rPr>
                <w:rFonts w:ascii="Times New Roman" w:eastAsia="標楷體" w:hAnsi="Times New Roman" w:cs="Times New Roman"/>
                <w:vertAlign w:val="superscript"/>
              </w:rPr>
              <w:t>th</w:t>
            </w:r>
            <w:r w:rsidRPr="00837771">
              <w:rPr>
                <w:rFonts w:ascii="Times New Roman" w:eastAsia="標楷體" w:hAnsi="Times New Roman" w:cs="Times New Roman"/>
              </w:rPr>
              <w:t>) week of the first semester in the program</w:t>
            </w:r>
            <w:r w:rsidRPr="00837771">
              <w:rPr>
                <w:rFonts w:ascii="Times New Roman" w:eastAsia="標楷體" w:hAnsi="Times New Roman" w:cs="Times New Roman" w:hint="eastAsia"/>
              </w:rPr>
              <w:t>.</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資格考試</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Qualifying Examination</w:t>
            </w:r>
          </w:p>
        </w:tc>
        <w:tc>
          <w:tcPr>
            <w:tcW w:w="8017" w:type="dxa"/>
            <w:shd w:val="clear" w:color="auto" w:fill="auto"/>
          </w:tcPr>
          <w:p w:rsidR="00556F4E" w:rsidRPr="00E0638B" w:rsidRDefault="00D57A81">
            <w:pPr>
              <w:numPr>
                <w:ilvl w:val="0"/>
                <w:numId w:val="7"/>
              </w:numPr>
              <w:jc w:val="both"/>
              <w:rPr>
                <w:rFonts w:ascii="Times New Roman" w:eastAsia="標楷體" w:hAnsi="Times New Roman" w:cs="Times New Roman"/>
              </w:rPr>
            </w:pPr>
            <w:r w:rsidRPr="00E0638B">
              <w:rPr>
                <w:rFonts w:ascii="Times New Roman" w:eastAsia="標楷體" w:hAnsi="Times New Roman" w:cs="Times New Roman"/>
              </w:rPr>
              <w:t>本學程學生須於入學後二年內（休學期間不計）通過資格考試二科：</w:t>
            </w:r>
          </w:p>
          <w:p w:rsidR="00556F4E" w:rsidRPr="00E0638B" w:rsidRDefault="00D57A81">
            <w:pPr>
              <w:ind w:left="480"/>
              <w:jc w:val="both"/>
              <w:rPr>
                <w:rFonts w:ascii="Times New Roman" w:eastAsia="標楷體" w:hAnsi="Times New Roman" w:cs="Times New Roman"/>
              </w:rPr>
            </w:pPr>
            <w:r w:rsidRPr="00E0638B">
              <w:rPr>
                <w:rFonts w:ascii="Times New Roman" w:eastAsia="標楷體" w:hAnsi="Times New Roman" w:cs="Times New Roman"/>
              </w:rPr>
              <w:t>科目</w:t>
            </w:r>
            <w:r w:rsidRPr="00E0638B">
              <w:rPr>
                <w:rFonts w:ascii="Times New Roman" w:eastAsia="標楷體" w:hAnsi="Times New Roman" w:cs="Times New Roman"/>
              </w:rPr>
              <w:t xml:space="preserve">1: </w:t>
            </w:r>
            <w:r w:rsidRPr="00E0638B">
              <w:rPr>
                <w:rFonts w:ascii="Times New Roman" w:eastAsia="標楷體" w:hAnsi="Times New Roman" w:cs="Times New Roman"/>
              </w:rPr>
              <w:t>高等作業管理、高等管理理論（二選一），及</w:t>
            </w:r>
          </w:p>
          <w:p w:rsidR="00556F4E" w:rsidRPr="00E0638B" w:rsidRDefault="00D57A81">
            <w:pPr>
              <w:ind w:left="480"/>
              <w:jc w:val="both"/>
              <w:rPr>
                <w:rFonts w:ascii="Times New Roman" w:eastAsia="標楷體" w:hAnsi="Times New Roman" w:cs="Times New Roman"/>
              </w:rPr>
            </w:pPr>
            <w:r w:rsidRPr="00E0638B">
              <w:rPr>
                <w:rFonts w:ascii="Times New Roman" w:eastAsia="標楷體" w:hAnsi="Times New Roman" w:cs="Times New Roman"/>
              </w:rPr>
              <w:t>科目</w:t>
            </w:r>
            <w:r w:rsidRPr="00E0638B">
              <w:rPr>
                <w:rFonts w:ascii="Times New Roman" w:eastAsia="標楷體" w:hAnsi="Times New Roman" w:cs="Times New Roman"/>
              </w:rPr>
              <w:t xml:space="preserve">2: </w:t>
            </w:r>
            <w:r w:rsidRPr="00E0638B">
              <w:rPr>
                <w:rFonts w:ascii="Times New Roman" w:eastAsia="標楷體" w:hAnsi="Times New Roman" w:cs="Times New Roman"/>
              </w:rPr>
              <w:t>高等企業研究方法、高等數量方法（二選一）。</w:t>
            </w:r>
          </w:p>
          <w:p w:rsidR="00556F4E" w:rsidRPr="00E0638B" w:rsidRDefault="00D57A81">
            <w:pPr>
              <w:jc w:val="both"/>
              <w:rPr>
                <w:rFonts w:ascii="Times New Roman" w:eastAsia="標楷體" w:hAnsi="Times New Roman" w:cs="Times New Roman"/>
              </w:rPr>
            </w:pPr>
            <w:r w:rsidRPr="00E0638B">
              <w:rPr>
                <w:rFonts w:ascii="Times New Roman" w:eastAsia="標楷體" w:hAnsi="Times New Roman" w:cs="Times New Roman"/>
              </w:rPr>
              <w:lastRenderedPageBreak/>
              <w:t xml:space="preserve">    </w:t>
            </w:r>
            <w:r w:rsidRPr="00E0638B">
              <w:rPr>
                <w:rFonts w:ascii="Times New Roman" w:eastAsia="標楷體" w:hAnsi="Times New Roman" w:cs="Times New Roman"/>
              </w:rPr>
              <w:t>學生未在規定年限內通過上述二科資格考試，即</w:t>
            </w:r>
            <w:proofErr w:type="gramStart"/>
            <w:r w:rsidRPr="00E0638B">
              <w:rPr>
                <w:rFonts w:ascii="Times New Roman" w:eastAsia="標楷體" w:hAnsi="Times New Roman" w:cs="Times New Roman"/>
              </w:rPr>
              <w:t>予退</w:t>
            </w:r>
            <w:proofErr w:type="gramEnd"/>
            <w:r w:rsidRPr="00E0638B">
              <w:rPr>
                <w:rFonts w:ascii="Times New Roman" w:eastAsia="標楷體" w:hAnsi="Times New Roman" w:cs="Times New Roman"/>
              </w:rPr>
              <w:t>學為原則。</w:t>
            </w:r>
          </w:p>
          <w:p w:rsidR="00556F4E" w:rsidRPr="00E0638B" w:rsidRDefault="00D57A81">
            <w:pPr>
              <w:numPr>
                <w:ilvl w:val="0"/>
                <w:numId w:val="7"/>
              </w:numPr>
              <w:jc w:val="both"/>
              <w:rPr>
                <w:rFonts w:ascii="Times New Roman" w:eastAsia="標楷體" w:hAnsi="Times New Roman" w:cs="Times New Roman"/>
              </w:rPr>
            </w:pPr>
            <w:r w:rsidRPr="00E0638B">
              <w:rPr>
                <w:rFonts w:ascii="Times New Roman" w:eastAsia="標楷體" w:hAnsi="Times New Roman" w:cs="Times New Roman"/>
              </w:rPr>
              <w:t>資格考試每學期舉辦一次，應於每年</w:t>
            </w:r>
            <w:r w:rsidRPr="00E0638B">
              <w:rPr>
                <w:rFonts w:ascii="Times New Roman" w:eastAsia="標楷體" w:hAnsi="Times New Roman" w:cs="Times New Roman"/>
              </w:rPr>
              <w:t>11</w:t>
            </w:r>
            <w:r w:rsidRPr="00E0638B">
              <w:rPr>
                <w:rFonts w:ascii="Times New Roman" w:eastAsia="標楷體" w:hAnsi="Times New Roman" w:cs="Times New Roman"/>
              </w:rPr>
              <w:t>月</w:t>
            </w:r>
            <w:r w:rsidRPr="00E0638B">
              <w:rPr>
                <w:rFonts w:ascii="Times New Roman" w:eastAsia="標楷體" w:hAnsi="Times New Roman" w:cs="Times New Roman"/>
              </w:rPr>
              <w:t>30</w:t>
            </w:r>
            <w:r w:rsidRPr="00E0638B">
              <w:rPr>
                <w:rFonts w:ascii="Times New Roman" w:eastAsia="標楷體" w:hAnsi="Times New Roman" w:cs="Times New Roman"/>
              </w:rPr>
              <w:t>日及</w:t>
            </w:r>
            <w:r w:rsidRPr="00E0638B">
              <w:rPr>
                <w:rFonts w:ascii="Times New Roman" w:eastAsia="標楷體" w:hAnsi="Times New Roman" w:cs="Times New Roman"/>
              </w:rPr>
              <w:t>4</w:t>
            </w:r>
            <w:r w:rsidRPr="00E0638B">
              <w:rPr>
                <w:rFonts w:ascii="Times New Roman" w:eastAsia="標楷體" w:hAnsi="Times New Roman" w:cs="Times New Roman"/>
              </w:rPr>
              <w:t>月</w:t>
            </w:r>
            <w:r w:rsidRPr="00E0638B">
              <w:rPr>
                <w:rFonts w:ascii="Times New Roman" w:eastAsia="標楷體" w:hAnsi="Times New Roman" w:cs="Times New Roman"/>
              </w:rPr>
              <w:t>30</w:t>
            </w:r>
            <w:r w:rsidRPr="00E0638B">
              <w:rPr>
                <w:rFonts w:ascii="Times New Roman" w:eastAsia="標楷體" w:hAnsi="Times New Roman" w:cs="Times New Roman"/>
              </w:rPr>
              <w:t>日前出申請，並於</w:t>
            </w:r>
            <w:r w:rsidRPr="00E0638B">
              <w:rPr>
                <w:rFonts w:ascii="Times New Roman" w:eastAsia="標楷體" w:hAnsi="Times New Roman" w:cs="Times New Roman"/>
              </w:rPr>
              <w:t>1</w:t>
            </w:r>
            <w:r w:rsidRPr="00E0638B">
              <w:rPr>
                <w:rFonts w:ascii="Times New Roman" w:eastAsia="標楷體" w:hAnsi="Times New Roman" w:cs="Times New Roman"/>
              </w:rPr>
              <w:t>月</w:t>
            </w:r>
            <w:r w:rsidRPr="00E0638B">
              <w:rPr>
                <w:rFonts w:ascii="Times New Roman" w:eastAsia="標楷體" w:hAnsi="Times New Roman" w:cs="Times New Roman"/>
              </w:rPr>
              <w:t>31</w:t>
            </w:r>
            <w:r w:rsidRPr="00E0638B">
              <w:rPr>
                <w:rFonts w:ascii="Times New Roman" w:eastAsia="標楷體" w:hAnsi="Times New Roman" w:cs="Times New Roman"/>
              </w:rPr>
              <w:t>日及</w:t>
            </w:r>
            <w:r w:rsidRPr="00E0638B">
              <w:rPr>
                <w:rFonts w:ascii="Times New Roman" w:eastAsia="標楷體" w:hAnsi="Times New Roman" w:cs="Times New Roman"/>
              </w:rPr>
              <w:t>6</w:t>
            </w:r>
            <w:r w:rsidRPr="00E0638B">
              <w:rPr>
                <w:rFonts w:ascii="Times New Roman" w:eastAsia="標楷體" w:hAnsi="Times New Roman" w:cs="Times New Roman"/>
              </w:rPr>
              <w:t>月</w:t>
            </w:r>
            <w:r w:rsidRPr="00E0638B">
              <w:rPr>
                <w:rFonts w:ascii="Times New Roman" w:eastAsia="標楷體" w:hAnsi="Times New Roman" w:cs="Times New Roman"/>
              </w:rPr>
              <w:t>30</w:t>
            </w:r>
            <w:r w:rsidRPr="00E0638B">
              <w:rPr>
                <w:rFonts w:ascii="Times New Roman" w:eastAsia="標楷體" w:hAnsi="Times New Roman" w:cs="Times New Roman"/>
              </w:rPr>
              <w:t>日前完成考試，各學期實際考試日期及命題教師由學術委員會核定之。考試成績以</w:t>
            </w:r>
            <w:r w:rsidRPr="00E0638B">
              <w:rPr>
                <w:rFonts w:ascii="Times New Roman" w:eastAsia="標楷體" w:hAnsi="Times New Roman" w:cs="Times New Roman"/>
              </w:rPr>
              <w:t>70</w:t>
            </w:r>
            <w:r w:rsidRPr="00E0638B">
              <w:rPr>
                <w:rFonts w:ascii="Times New Roman" w:eastAsia="標楷體" w:hAnsi="Times New Roman" w:cs="Times New Roman"/>
              </w:rPr>
              <w:t>分（含）以上為及格。</w:t>
            </w:r>
          </w:p>
          <w:p w:rsidR="00556F4E" w:rsidRPr="00E0638B" w:rsidRDefault="00D57A81">
            <w:pPr>
              <w:numPr>
                <w:ilvl w:val="0"/>
                <w:numId w:val="7"/>
              </w:numPr>
              <w:jc w:val="both"/>
              <w:rPr>
                <w:rFonts w:ascii="Times New Roman" w:eastAsia="標楷體" w:hAnsi="Times New Roman" w:cs="Times New Roman"/>
              </w:rPr>
            </w:pPr>
            <w:r w:rsidRPr="00E0638B">
              <w:rPr>
                <w:rFonts w:ascii="Times New Roman" w:eastAsia="標楷體" w:hAnsi="Times New Roman" w:cs="Times New Roman"/>
              </w:rPr>
              <w:t>學生入學後二年內（休學期間不計），參加同一科目資格考試兩次未通過，但經指導教授及學程主任推薦，並獲學術委員會同意後，得以一篇期刊論文抵</w:t>
            </w:r>
            <w:proofErr w:type="gramStart"/>
            <w:r w:rsidRPr="00E0638B">
              <w:rPr>
                <w:rFonts w:ascii="Times New Roman" w:eastAsia="標楷體" w:hAnsi="Times New Roman" w:cs="Times New Roman"/>
              </w:rPr>
              <w:t>一</w:t>
            </w:r>
            <w:proofErr w:type="gramEnd"/>
            <w:r w:rsidRPr="00E0638B">
              <w:rPr>
                <w:rFonts w:ascii="Times New Roman" w:eastAsia="標楷體" w:hAnsi="Times New Roman" w:cs="Times New Roman"/>
              </w:rPr>
              <w:t>科未通過之資格考試，抵免之期刊論文最遲應於入學三年內接受刊登。除本校指導教授外，該生必須為論文單一學生作者，且不得作為畢業資格審查之論文。</w:t>
            </w:r>
          </w:p>
          <w:p w:rsidR="00556F4E" w:rsidRPr="00E0638B" w:rsidRDefault="00D57A81">
            <w:pPr>
              <w:numPr>
                <w:ilvl w:val="0"/>
                <w:numId w:val="7"/>
              </w:numPr>
              <w:jc w:val="both"/>
              <w:rPr>
                <w:rFonts w:ascii="Times New Roman" w:eastAsia="標楷體" w:hAnsi="Times New Roman" w:cs="Times New Roman"/>
              </w:rPr>
            </w:pPr>
            <w:r w:rsidRPr="00E0638B">
              <w:rPr>
                <w:rFonts w:ascii="Times New Roman" w:eastAsia="標楷體" w:hAnsi="Times New Roman" w:cs="Times New Roman"/>
              </w:rPr>
              <w:t>學生同一科目在規定年限內兩次未通過，且未在規定年限內</w:t>
            </w:r>
            <w:proofErr w:type="gramStart"/>
            <w:r w:rsidRPr="00E0638B">
              <w:rPr>
                <w:rFonts w:ascii="Times New Roman" w:eastAsia="標楷體" w:hAnsi="Times New Roman" w:cs="Times New Roman"/>
              </w:rPr>
              <w:t>發表具審稿</w:t>
            </w:r>
            <w:proofErr w:type="gramEnd"/>
            <w:r w:rsidRPr="00E0638B">
              <w:rPr>
                <w:rFonts w:ascii="Times New Roman" w:eastAsia="標楷體" w:hAnsi="Times New Roman" w:cs="Times New Roman"/>
              </w:rPr>
              <w:t>制度之期刊論文替代，即</w:t>
            </w:r>
            <w:proofErr w:type="gramStart"/>
            <w:r w:rsidRPr="00E0638B">
              <w:rPr>
                <w:rFonts w:ascii="Times New Roman" w:eastAsia="標楷體" w:hAnsi="Times New Roman" w:cs="Times New Roman"/>
              </w:rPr>
              <w:t>予</w:t>
            </w:r>
            <w:proofErr w:type="gramEnd"/>
            <w:r w:rsidRPr="00E0638B">
              <w:rPr>
                <w:rFonts w:ascii="Times New Roman" w:eastAsia="標楷體" w:hAnsi="Times New Roman" w:cs="Times New Roman"/>
              </w:rPr>
              <w:t>退學。</w:t>
            </w:r>
          </w:p>
          <w:p w:rsidR="00556F4E" w:rsidRPr="00E0638B" w:rsidRDefault="00D57A81">
            <w:pPr>
              <w:numPr>
                <w:ilvl w:val="0"/>
                <w:numId w:val="7"/>
              </w:numPr>
              <w:jc w:val="both"/>
              <w:rPr>
                <w:rFonts w:ascii="Times New Roman" w:eastAsia="標楷體" w:hAnsi="Times New Roman" w:cs="Times New Roman"/>
              </w:rPr>
            </w:pPr>
            <w:r w:rsidRPr="00E0638B">
              <w:rPr>
                <w:rFonts w:ascii="Times New Roman" w:eastAsia="標楷體" w:hAnsi="Times New Roman" w:cs="Times New Roman"/>
              </w:rPr>
              <w:t>前述各項期限，學術委員會得視個案情況予以展延，但同一個案展延處分以一次</w:t>
            </w:r>
            <w:r w:rsidRPr="00E0638B">
              <w:rPr>
                <w:rFonts w:ascii="Times New Roman" w:eastAsia="標楷體" w:hAnsi="Times New Roman" w:cs="Times New Roman"/>
              </w:rPr>
              <w:t>(</w:t>
            </w:r>
            <w:r w:rsidRPr="00E0638B">
              <w:rPr>
                <w:rFonts w:ascii="Times New Roman" w:eastAsia="標楷體" w:hAnsi="Times New Roman" w:cs="Times New Roman"/>
              </w:rPr>
              <w:t>至長一年</w:t>
            </w:r>
            <w:r w:rsidRPr="00E0638B">
              <w:rPr>
                <w:rFonts w:ascii="Times New Roman" w:eastAsia="標楷體" w:hAnsi="Times New Roman" w:cs="Times New Roman"/>
              </w:rPr>
              <w:t>)</w:t>
            </w:r>
            <w:r w:rsidRPr="00E0638B">
              <w:rPr>
                <w:rFonts w:ascii="Times New Roman" w:eastAsia="標楷體" w:hAnsi="Times New Roman" w:cs="Times New Roman"/>
              </w:rPr>
              <w:t>為限。</w:t>
            </w:r>
          </w:p>
          <w:p w:rsidR="00556F4E" w:rsidRPr="00E0638B" w:rsidRDefault="00D57A81">
            <w:pPr>
              <w:numPr>
                <w:ilvl w:val="0"/>
                <w:numId w:val="7"/>
              </w:numPr>
              <w:spacing w:before="31"/>
              <w:jc w:val="both"/>
              <w:rPr>
                <w:rFonts w:ascii="Times New Roman" w:eastAsia="標楷體" w:hAnsi="Times New Roman" w:cs="Times New Roman"/>
              </w:rPr>
            </w:pPr>
            <w:r w:rsidRPr="00E0638B">
              <w:rPr>
                <w:rFonts w:ascii="Times New Roman" w:eastAsia="標楷體" w:hAnsi="Times New Roman" w:cs="Times New Roman"/>
              </w:rPr>
              <w:t xml:space="preserve">Within the first two years after enrollment (excluding approved semester leave), students must successfully complete the written qualifying examination in two subjects including: </w:t>
            </w:r>
          </w:p>
          <w:p w:rsidR="00556F4E" w:rsidRPr="00E0638B" w:rsidRDefault="00D57A81">
            <w:pPr>
              <w:spacing w:before="31"/>
              <w:ind w:left="480"/>
              <w:jc w:val="both"/>
              <w:rPr>
                <w:rFonts w:ascii="Times New Roman" w:eastAsia="標楷體" w:hAnsi="Times New Roman" w:cs="Times New Roman"/>
              </w:rPr>
            </w:pPr>
            <w:r w:rsidRPr="00E0638B">
              <w:rPr>
                <w:rFonts w:ascii="Times New Roman" w:eastAsia="標楷體" w:hAnsi="Times New Roman" w:cs="Times New Roman"/>
              </w:rPr>
              <w:t xml:space="preserve">Subject 1: </w:t>
            </w:r>
            <w:r w:rsidRPr="00E0638B">
              <w:rPr>
                <w:rFonts w:ascii="Times New Roman" w:eastAsia="標楷體" w:hAnsi="Times New Roman" w:cs="Times New Roman"/>
                <w:i/>
                <w:u w:val="single"/>
              </w:rPr>
              <w:t>Advanced Operations Management</w:t>
            </w:r>
            <w:r w:rsidRPr="00E0638B">
              <w:rPr>
                <w:rFonts w:ascii="Times New Roman" w:eastAsia="標楷體" w:hAnsi="Times New Roman" w:cs="Times New Roman"/>
                <w:i/>
              </w:rPr>
              <w:t>,</w:t>
            </w:r>
            <w:r w:rsidRPr="00E0638B">
              <w:rPr>
                <w:rFonts w:ascii="Times New Roman" w:eastAsia="標楷體" w:hAnsi="Times New Roman" w:cs="Times New Roman"/>
              </w:rPr>
              <w:t xml:space="preserve"> </w:t>
            </w:r>
            <w:r w:rsidRPr="00E0638B">
              <w:rPr>
                <w:rFonts w:ascii="Times New Roman" w:eastAsia="標楷體" w:hAnsi="Times New Roman" w:cs="Times New Roman"/>
                <w:i/>
              </w:rPr>
              <w:t xml:space="preserve">or </w:t>
            </w:r>
            <w:r w:rsidRPr="00E0638B">
              <w:rPr>
                <w:rFonts w:ascii="Times New Roman" w:eastAsia="標楷體" w:hAnsi="Times New Roman" w:cs="Times New Roman"/>
                <w:i/>
                <w:u w:val="single"/>
              </w:rPr>
              <w:t>Advanced Management Theories</w:t>
            </w:r>
            <w:r w:rsidRPr="00E0638B">
              <w:rPr>
                <w:rFonts w:ascii="Times New Roman" w:eastAsia="標楷體" w:hAnsi="Times New Roman" w:cs="Times New Roman"/>
                <w:i/>
              </w:rPr>
              <w:t xml:space="preserve"> </w:t>
            </w:r>
            <w:r w:rsidRPr="00E0638B">
              <w:rPr>
                <w:rFonts w:ascii="Times New Roman" w:eastAsia="標楷體" w:hAnsi="Times New Roman" w:cs="Times New Roman"/>
              </w:rPr>
              <w:t>(either/or), and</w:t>
            </w:r>
          </w:p>
          <w:p w:rsidR="00556F4E" w:rsidRPr="00E0638B" w:rsidRDefault="00D57A81">
            <w:pPr>
              <w:spacing w:before="31"/>
              <w:ind w:firstLine="480"/>
              <w:jc w:val="both"/>
              <w:rPr>
                <w:rFonts w:ascii="Times New Roman" w:eastAsia="標楷體" w:hAnsi="Times New Roman" w:cs="Times New Roman"/>
                <w:i/>
                <w:u w:val="single"/>
              </w:rPr>
            </w:pPr>
            <w:r w:rsidRPr="00E0638B">
              <w:rPr>
                <w:rFonts w:ascii="Times New Roman" w:eastAsia="標楷體" w:hAnsi="Times New Roman" w:cs="Times New Roman"/>
              </w:rPr>
              <w:t xml:space="preserve">Subject 2: </w:t>
            </w:r>
            <w:r w:rsidRPr="00E0638B">
              <w:rPr>
                <w:rFonts w:ascii="Times New Roman" w:eastAsia="標楷體" w:hAnsi="Times New Roman" w:cs="Times New Roman"/>
                <w:i/>
                <w:u w:val="single"/>
              </w:rPr>
              <w:t>Advanced Business Research Method</w:t>
            </w:r>
            <w:r w:rsidRPr="00E0638B">
              <w:rPr>
                <w:rFonts w:ascii="Times New Roman" w:eastAsia="標楷體" w:hAnsi="Times New Roman" w:cs="Times New Roman"/>
                <w:u w:val="single"/>
              </w:rPr>
              <w:t xml:space="preserve">s </w:t>
            </w:r>
            <w:r w:rsidRPr="00E0638B">
              <w:rPr>
                <w:rFonts w:ascii="Times New Roman" w:eastAsia="標楷體" w:hAnsi="Times New Roman" w:cs="Times New Roman"/>
              </w:rPr>
              <w:t xml:space="preserve">or </w:t>
            </w:r>
            <w:r w:rsidRPr="00E0638B">
              <w:rPr>
                <w:rFonts w:ascii="Times New Roman" w:eastAsia="標楷體" w:hAnsi="Times New Roman" w:cs="Times New Roman"/>
                <w:i/>
                <w:u w:val="single"/>
              </w:rPr>
              <w:t xml:space="preserve">Advanced </w:t>
            </w:r>
          </w:p>
          <w:p w:rsidR="00556F4E" w:rsidRPr="00E0638B" w:rsidRDefault="00D57A81">
            <w:pPr>
              <w:spacing w:before="31"/>
              <w:ind w:firstLine="480"/>
              <w:jc w:val="both"/>
              <w:rPr>
                <w:rFonts w:ascii="Times New Roman" w:eastAsia="標楷體" w:hAnsi="Times New Roman" w:cs="Times New Roman"/>
              </w:rPr>
            </w:pPr>
            <w:r w:rsidRPr="00E0638B">
              <w:rPr>
                <w:rFonts w:ascii="Times New Roman" w:eastAsia="標楷體" w:hAnsi="Times New Roman" w:cs="Times New Roman"/>
                <w:i/>
                <w:u w:val="single"/>
              </w:rPr>
              <w:t>Quantitative Methods</w:t>
            </w:r>
            <w:r w:rsidRPr="00E0638B">
              <w:rPr>
                <w:rFonts w:ascii="Times New Roman" w:eastAsia="標楷體" w:hAnsi="Times New Roman" w:cs="Times New Roman"/>
              </w:rPr>
              <w:t xml:space="preserve"> (either/or).</w:t>
            </w:r>
          </w:p>
          <w:p w:rsidR="00556F4E" w:rsidRPr="00E0638B" w:rsidRDefault="00D57A81">
            <w:pPr>
              <w:spacing w:before="31"/>
              <w:ind w:left="480"/>
              <w:jc w:val="both"/>
              <w:rPr>
                <w:rFonts w:ascii="Times New Roman" w:eastAsia="標楷體" w:hAnsi="Times New Roman" w:cs="Times New Roman"/>
              </w:rPr>
            </w:pPr>
            <w:r w:rsidRPr="00E0638B">
              <w:rPr>
                <w:rFonts w:ascii="Times New Roman" w:eastAsia="標楷體" w:hAnsi="Times New Roman" w:cs="Times New Roman"/>
              </w:rPr>
              <w:t xml:space="preserve">The requirement should be fulfilled within the first two years after enrollment (excluding approved semester leave). Failing to do so, students are to be withdrawn from this program in principle. </w:t>
            </w:r>
          </w:p>
          <w:p w:rsidR="00556F4E" w:rsidRPr="00E0638B" w:rsidRDefault="00D57A81">
            <w:pPr>
              <w:numPr>
                <w:ilvl w:val="0"/>
                <w:numId w:val="5"/>
              </w:numPr>
              <w:spacing w:before="31"/>
              <w:jc w:val="both"/>
              <w:rPr>
                <w:rFonts w:ascii="Times New Roman" w:eastAsia="標楷體" w:hAnsi="Times New Roman" w:cs="Times New Roman"/>
              </w:rPr>
            </w:pPr>
            <w:r w:rsidRPr="00E0638B">
              <w:rPr>
                <w:rFonts w:ascii="Times New Roman" w:eastAsia="標楷體" w:hAnsi="Times New Roman" w:cs="Times New Roman"/>
              </w:rPr>
              <w:t>The Qualifying Examination is given once each semester. The examinees’ applications are to be made by the end of November and April.</w:t>
            </w:r>
            <w:r w:rsidRPr="00E0638B">
              <w:rPr>
                <w:rFonts w:ascii="Times New Roman" w:eastAsia="標楷體" w:hAnsi="Times New Roman" w:cs="Times New Roman"/>
                <w:sz w:val="22"/>
                <w:szCs w:val="22"/>
              </w:rPr>
              <w:t xml:space="preserve"> </w:t>
            </w:r>
            <w:r w:rsidRPr="00E0638B">
              <w:rPr>
                <w:rFonts w:ascii="Times New Roman" w:eastAsia="標楷體" w:hAnsi="Times New Roman" w:cs="Times New Roman"/>
              </w:rPr>
              <w:t>The Qualifying Examinations</w:t>
            </w:r>
            <w:r w:rsidRPr="00E0638B">
              <w:rPr>
                <w:rFonts w:ascii="Times New Roman" w:eastAsia="標楷體" w:hAnsi="Times New Roman" w:cs="Times New Roman"/>
                <w:sz w:val="22"/>
                <w:szCs w:val="22"/>
              </w:rPr>
              <w:t xml:space="preserve"> </w:t>
            </w:r>
            <w:r w:rsidRPr="00E0638B">
              <w:rPr>
                <w:rFonts w:ascii="Times New Roman" w:eastAsia="標楷體" w:hAnsi="Times New Roman" w:cs="Times New Roman"/>
              </w:rPr>
              <w:t>take place in January and June. The actual testing dates and the examiners are determined by the Program Academic Committee. The passing grade is 70.</w:t>
            </w:r>
          </w:p>
          <w:p w:rsidR="00556F4E" w:rsidRPr="00E0638B" w:rsidRDefault="00D57A81">
            <w:pPr>
              <w:numPr>
                <w:ilvl w:val="0"/>
                <w:numId w:val="10"/>
              </w:numPr>
              <w:spacing w:before="31"/>
              <w:jc w:val="both"/>
              <w:rPr>
                <w:rFonts w:ascii="Times New Roman" w:eastAsia="標楷體" w:hAnsi="Times New Roman" w:cs="Times New Roman"/>
              </w:rPr>
            </w:pPr>
            <w:r w:rsidRPr="00E0638B">
              <w:rPr>
                <w:rFonts w:ascii="Times New Roman" w:eastAsia="標楷體" w:hAnsi="Times New Roman" w:cs="Times New Roman"/>
              </w:rPr>
              <w:t xml:space="preserve">If students fail one subject twice within the first two years after enrollment (excluding approved semester leave), they can make up for the failure with a publication in peer-reviewed journals after getting recommendations from their advisor(s) and the program director, and further getting approved by the Program Academic Committee. Moreover, this publication should be accepted within three years of enrollment. Besides their advisor(s), students must be the sole author of the article, and they are not allowed to use this article to fulfill the application requirement of the final dissertation. </w:t>
            </w:r>
          </w:p>
          <w:p w:rsidR="00556F4E" w:rsidRPr="00E0638B" w:rsidRDefault="00D57A81">
            <w:pPr>
              <w:numPr>
                <w:ilvl w:val="0"/>
                <w:numId w:val="10"/>
              </w:numPr>
              <w:spacing w:before="31"/>
              <w:jc w:val="both"/>
              <w:rPr>
                <w:rFonts w:ascii="Times New Roman" w:eastAsia="標楷體" w:hAnsi="Times New Roman" w:cs="Times New Roman"/>
              </w:rPr>
            </w:pPr>
            <w:r w:rsidRPr="00E0638B">
              <w:rPr>
                <w:rFonts w:ascii="Times New Roman" w:eastAsia="標楷體" w:hAnsi="Times New Roman" w:cs="Times New Roman"/>
              </w:rPr>
              <w:t>Students failing one subject twice within the specified period and failing to make up for the failure with a publication within the specified period will be withdrawn from this program.</w:t>
            </w:r>
          </w:p>
          <w:p w:rsidR="00556F4E" w:rsidRPr="00E0638B" w:rsidRDefault="00D57A81">
            <w:pPr>
              <w:numPr>
                <w:ilvl w:val="0"/>
                <w:numId w:val="10"/>
              </w:numPr>
              <w:spacing w:before="31"/>
              <w:jc w:val="both"/>
              <w:rPr>
                <w:rFonts w:ascii="Times New Roman" w:eastAsia="標楷體" w:hAnsi="Times New Roman" w:cs="Times New Roman"/>
              </w:rPr>
            </w:pPr>
            <w:r w:rsidRPr="00E0638B">
              <w:rPr>
                <w:rFonts w:ascii="Times New Roman" w:eastAsia="標楷體" w:hAnsi="Times New Roman" w:cs="Times New Roman"/>
              </w:rPr>
              <w:t xml:space="preserve">An extension of the above-mentioned deadlines could be granted by the Program Academic Committee. The extension implementation is limited to once and no longer than one year. </w:t>
            </w:r>
          </w:p>
        </w:tc>
      </w:tr>
      <w:tr w:rsidR="00396A5A" w:rsidRPr="00E0638B" w:rsidTr="00837771">
        <w:trPr>
          <w:jc w:val="center"/>
        </w:trPr>
        <w:tc>
          <w:tcPr>
            <w:tcW w:w="2466" w:type="dxa"/>
            <w:shd w:val="clear" w:color="auto" w:fill="auto"/>
            <w:vAlign w:val="center"/>
          </w:tcPr>
          <w:p w:rsidR="00396A5A" w:rsidRPr="00396A5A" w:rsidRDefault="00396A5A" w:rsidP="00396A5A">
            <w:pPr>
              <w:jc w:val="center"/>
              <w:rPr>
                <w:rFonts w:ascii="Times New Roman" w:eastAsia="標楷體" w:hAnsi="Times New Roman" w:cs="Times New Roman"/>
              </w:rPr>
            </w:pPr>
            <w:r w:rsidRPr="00396A5A">
              <w:rPr>
                <w:rFonts w:ascii="Times New Roman" w:eastAsia="標楷體" w:hAnsi="Times New Roman" w:cs="Times New Roman"/>
              </w:rPr>
              <w:lastRenderedPageBreak/>
              <w:t>院內提案口試</w:t>
            </w:r>
          </w:p>
          <w:p w:rsidR="00396A5A" w:rsidRPr="00396A5A" w:rsidRDefault="00396A5A" w:rsidP="00396A5A">
            <w:pPr>
              <w:jc w:val="center"/>
              <w:rPr>
                <w:rFonts w:ascii="Times New Roman" w:eastAsia="標楷體" w:hAnsi="Times New Roman" w:cs="Times New Roman"/>
                <w:b/>
                <w:sz w:val="36"/>
                <w:szCs w:val="36"/>
              </w:rPr>
            </w:pPr>
            <w:r w:rsidRPr="00396A5A">
              <w:rPr>
                <w:rFonts w:ascii="Times New Roman" w:eastAsia="標楷體" w:hAnsi="Times New Roman" w:cs="Times New Roman"/>
              </w:rPr>
              <w:t>Proposal Defense</w:t>
            </w:r>
          </w:p>
        </w:tc>
        <w:tc>
          <w:tcPr>
            <w:tcW w:w="8017" w:type="dxa"/>
            <w:shd w:val="clear" w:color="auto" w:fill="auto"/>
          </w:tcPr>
          <w:p w:rsidR="00396A5A" w:rsidRPr="00396A5A" w:rsidRDefault="00396A5A" w:rsidP="00396A5A">
            <w:pPr>
              <w:numPr>
                <w:ilvl w:val="0"/>
                <w:numId w:val="3"/>
              </w:numPr>
              <w:tabs>
                <w:tab w:val="left" w:pos="324"/>
              </w:tabs>
              <w:jc w:val="both"/>
              <w:rPr>
                <w:rFonts w:ascii="Times New Roman" w:eastAsia="標楷體" w:hAnsi="Times New Roman" w:cs="Times New Roman"/>
              </w:rPr>
            </w:pPr>
            <w:r w:rsidRPr="00396A5A">
              <w:rPr>
                <w:rFonts w:ascii="Times New Roman" w:eastAsia="標楷體" w:hAnsi="Times New Roman" w:cs="Times New Roman"/>
              </w:rPr>
              <w:t>研究生通過資格考試後六</w:t>
            </w:r>
            <w:proofErr w:type="gramStart"/>
            <w:r w:rsidRPr="00396A5A">
              <w:rPr>
                <w:rFonts w:ascii="Times New Roman" w:eastAsia="標楷體" w:hAnsi="Times New Roman" w:cs="Times New Roman"/>
              </w:rPr>
              <w:t>個</w:t>
            </w:r>
            <w:proofErr w:type="gramEnd"/>
            <w:r w:rsidRPr="00396A5A">
              <w:rPr>
                <w:rFonts w:ascii="Times New Roman" w:eastAsia="標楷體" w:hAnsi="Times New Roman" w:cs="Times New Roman"/>
              </w:rPr>
              <w:t>月內應由論文指導教授及其推薦符合博士學位考試委員資格之教師三至五名（含指導教授）組成考核委員會，由本學程學術委員會審核同意後聘請組成之。研究生如於通過二科資格考試時尚未洽定指導教授者，應於六個月內確定指導教授，並完成由指導教授推薦組成考核委員會，提送學術委員會審查。</w:t>
            </w:r>
          </w:p>
          <w:p w:rsidR="00396A5A" w:rsidRPr="00396A5A" w:rsidRDefault="00396A5A" w:rsidP="00396A5A">
            <w:pPr>
              <w:numPr>
                <w:ilvl w:val="0"/>
                <w:numId w:val="3"/>
              </w:numPr>
              <w:tabs>
                <w:tab w:val="left" w:pos="324"/>
              </w:tabs>
              <w:jc w:val="both"/>
              <w:rPr>
                <w:rFonts w:ascii="Times New Roman" w:eastAsia="標楷體" w:hAnsi="Times New Roman" w:cs="Times New Roman"/>
              </w:rPr>
            </w:pPr>
            <w:r w:rsidRPr="00396A5A">
              <w:rPr>
                <w:rFonts w:ascii="Times New Roman" w:eastAsia="標楷體" w:hAnsi="Times New Roman" w:cs="Times New Roman"/>
              </w:rPr>
              <w:t>申請院內提案口試應準備院內提案口試申請表、歷年成績單、資格考試通過成績單、論文計畫書</w:t>
            </w:r>
            <w:r w:rsidRPr="00396A5A">
              <w:rPr>
                <w:rFonts w:ascii="Times New Roman" w:eastAsia="標楷體" w:hAnsi="Times New Roman" w:cs="Times New Roman"/>
              </w:rPr>
              <w:t>(</w:t>
            </w:r>
            <w:r w:rsidRPr="00396A5A">
              <w:rPr>
                <w:rFonts w:ascii="Times New Roman" w:eastAsia="標楷體" w:hAnsi="Times New Roman" w:cs="Times New Roman"/>
              </w:rPr>
              <w:t>含摘要和論文前三章</w:t>
            </w:r>
            <w:r w:rsidRPr="00396A5A">
              <w:rPr>
                <w:rFonts w:ascii="Times New Roman" w:eastAsia="標楷體" w:hAnsi="Times New Roman" w:cs="Times New Roman"/>
              </w:rPr>
              <w:t>)</w:t>
            </w:r>
            <w:r w:rsidRPr="00396A5A">
              <w:rPr>
                <w:rFonts w:ascii="Times New Roman" w:eastAsia="標楷體" w:hAnsi="Times New Roman" w:cs="Times New Roman"/>
              </w:rPr>
              <w:t>、論文原創性報告</w:t>
            </w:r>
            <w:r w:rsidRPr="00396A5A">
              <w:rPr>
                <w:rFonts w:ascii="Times New Roman" w:eastAsia="標楷體" w:hAnsi="Times New Roman" w:cs="Times New Roman" w:hint="eastAsia"/>
              </w:rPr>
              <w:t>(</w:t>
            </w:r>
            <w:r w:rsidRPr="00396A5A">
              <w:rPr>
                <w:rFonts w:ascii="Times New Roman" w:eastAsia="標楷體" w:hAnsi="Times New Roman" w:cs="Times New Roman" w:hint="eastAsia"/>
              </w:rPr>
              <w:t>比對結果須低於</w:t>
            </w:r>
            <w:r w:rsidRPr="00396A5A">
              <w:rPr>
                <w:rFonts w:ascii="Times New Roman" w:eastAsia="標楷體" w:hAnsi="Times New Roman" w:cs="Times New Roman" w:hint="eastAsia"/>
              </w:rPr>
              <w:t>20%)</w:t>
            </w:r>
            <w:r w:rsidRPr="00396A5A">
              <w:rPr>
                <w:rFonts w:ascii="Times New Roman" w:eastAsia="標楷體" w:hAnsi="Times New Roman" w:cs="Times New Roman"/>
              </w:rPr>
              <w:t>、臺灣學術倫理教育資源中心修課證明，及至少一</w:t>
            </w:r>
            <w:r w:rsidRPr="00396A5A">
              <w:rPr>
                <w:rFonts w:ascii="Times New Roman" w:eastAsia="標楷體" w:hAnsi="Times New Roman" w:cs="Times New Roman"/>
              </w:rPr>
              <w:lastRenderedPageBreak/>
              <w:t>篇已發表之期刊論文，提送本學程學術委員會審查。</w:t>
            </w:r>
          </w:p>
          <w:p w:rsidR="00396A5A" w:rsidRPr="00396A5A" w:rsidRDefault="00396A5A" w:rsidP="00396A5A">
            <w:pPr>
              <w:numPr>
                <w:ilvl w:val="0"/>
                <w:numId w:val="3"/>
              </w:numPr>
              <w:tabs>
                <w:tab w:val="left" w:pos="324"/>
              </w:tabs>
              <w:jc w:val="both"/>
              <w:rPr>
                <w:rFonts w:ascii="Times New Roman" w:eastAsia="標楷體" w:hAnsi="Times New Roman" w:cs="Times New Roman"/>
              </w:rPr>
            </w:pPr>
            <w:r w:rsidRPr="00396A5A">
              <w:rPr>
                <w:rFonts w:ascii="Times New Roman" w:eastAsia="標楷體" w:hAnsi="Times New Roman" w:cs="Times New Roman"/>
              </w:rPr>
              <w:t>論文計畫書口頭答辯通過後，即成為博士候選人。獲得博士候選人資格後至少須經四個月，方得提出博士學位考試之申請。</w:t>
            </w:r>
          </w:p>
          <w:p w:rsidR="00396A5A" w:rsidRPr="00396A5A" w:rsidRDefault="00396A5A" w:rsidP="00396A5A">
            <w:pPr>
              <w:numPr>
                <w:ilvl w:val="0"/>
                <w:numId w:val="17"/>
              </w:numPr>
              <w:tabs>
                <w:tab w:val="left" w:pos="324"/>
              </w:tabs>
              <w:spacing w:before="31"/>
              <w:jc w:val="both"/>
              <w:rPr>
                <w:rFonts w:ascii="Times New Roman" w:eastAsia="標楷體" w:hAnsi="Times New Roman" w:cs="Times New Roman"/>
              </w:rPr>
            </w:pPr>
            <w:r w:rsidRPr="00396A5A">
              <w:rPr>
                <w:rFonts w:ascii="Times New Roman" w:eastAsia="標楷體" w:hAnsi="Times New Roman" w:cs="Times New Roman"/>
              </w:rPr>
              <w:t xml:space="preserve">Within six months after passing the Written Qualifying Examination, the advisor should organize a Doctoral Dissertation Supervision Committee composed of three to five qualified members to process the workflow of dissertation preparation. The Committee members are recommended by the major advisor serving as Committee Chair and their appointments are approved by the College of Business Academic Council through the Council reviewing process. Students who have passed two Qualifying Examinations and did not have advisors should choose advisors within six months after passing the exams. Doctoral Dissertation Supervision Committees should be organized by their advisors during this six-month </w:t>
            </w:r>
            <w:proofErr w:type="gramStart"/>
            <w:r w:rsidRPr="00396A5A">
              <w:rPr>
                <w:rFonts w:ascii="Times New Roman" w:eastAsia="標楷體" w:hAnsi="Times New Roman" w:cs="Times New Roman"/>
              </w:rPr>
              <w:t>period of time</w:t>
            </w:r>
            <w:proofErr w:type="gramEnd"/>
            <w:r w:rsidRPr="00396A5A">
              <w:rPr>
                <w:rFonts w:ascii="Times New Roman" w:eastAsia="標楷體" w:hAnsi="Times New Roman" w:cs="Times New Roman"/>
              </w:rPr>
              <w:t xml:space="preserve"> and approved by the College of Business Academic Council through the Council reviewing process.</w:t>
            </w:r>
          </w:p>
          <w:p w:rsidR="00396A5A" w:rsidRPr="00396A5A" w:rsidRDefault="00396A5A" w:rsidP="00396A5A">
            <w:pPr>
              <w:numPr>
                <w:ilvl w:val="0"/>
                <w:numId w:val="17"/>
              </w:numPr>
              <w:tabs>
                <w:tab w:val="left" w:pos="324"/>
              </w:tabs>
              <w:spacing w:before="31"/>
              <w:jc w:val="both"/>
              <w:rPr>
                <w:rFonts w:ascii="Times New Roman" w:eastAsia="標楷體" w:hAnsi="Times New Roman" w:cs="Times New Roman"/>
              </w:rPr>
            </w:pPr>
            <w:r w:rsidRPr="00396A5A">
              <w:rPr>
                <w:rFonts w:ascii="Times New Roman" w:eastAsia="標楷體" w:hAnsi="Times New Roman" w:cs="Times New Roman"/>
              </w:rPr>
              <w:t>To apply for the Ph. D. Dissertation Proposal Defense, the following documents, including Dissertation Prospectus Application Form, Academic Transcript, Qualifying Examinations Transcript, Abstract and Chapter 1-3, Turnitin Report</w:t>
            </w:r>
            <w:r w:rsidRPr="00396A5A">
              <w:rPr>
                <w:rFonts w:ascii="Times New Roman" w:eastAsia="標楷體" w:hAnsi="Times New Roman" w:cs="Times New Roman" w:hint="eastAsia"/>
              </w:rPr>
              <w:t xml:space="preserve"> (</w:t>
            </w:r>
            <w:r w:rsidRPr="00396A5A">
              <w:rPr>
                <w:rFonts w:ascii="Times New Roman" w:eastAsia="標楷體" w:hAnsi="Times New Roman" w:cs="Times New Roman"/>
              </w:rPr>
              <w:t>similarity index below 20%</w:t>
            </w:r>
            <w:r w:rsidRPr="00396A5A">
              <w:rPr>
                <w:rFonts w:ascii="Times New Roman" w:eastAsia="標楷體" w:hAnsi="Times New Roman" w:cs="Times New Roman" w:hint="eastAsia"/>
              </w:rPr>
              <w:t>)</w:t>
            </w:r>
            <w:r w:rsidRPr="00396A5A">
              <w:rPr>
                <w:rFonts w:ascii="Times New Roman" w:eastAsia="標楷體" w:hAnsi="Times New Roman" w:cs="Times New Roman"/>
              </w:rPr>
              <w:t>, Certificate of the Research Ethics Education Center, and at least one published peer-reviewed journal article must be submitted to the College of Business Academic Council for review.</w:t>
            </w:r>
          </w:p>
          <w:p w:rsidR="00396A5A" w:rsidRPr="00396A5A" w:rsidRDefault="00396A5A" w:rsidP="00396A5A">
            <w:pPr>
              <w:numPr>
                <w:ilvl w:val="0"/>
                <w:numId w:val="17"/>
              </w:numPr>
              <w:tabs>
                <w:tab w:val="left" w:pos="324"/>
              </w:tabs>
              <w:jc w:val="both"/>
              <w:rPr>
                <w:rFonts w:ascii="Times New Roman" w:eastAsia="標楷體" w:hAnsi="Times New Roman" w:cs="Times New Roman"/>
              </w:rPr>
            </w:pPr>
            <w:r w:rsidRPr="00396A5A">
              <w:rPr>
                <w:rFonts w:ascii="Times New Roman" w:eastAsia="標楷體" w:hAnsi="Times New Roman" w:cs="Times New Roman"/>
              </w:rPr>
              <w:t xml:space="preserve">After passing the proposal defense, students will become doctoral candidates. Doctoral candidates </w:t>
            </w:r>
            <w:proofErr w:type="gramStart"/>
            <w:r w:rsidRPr="00396A5A">
              <w:rPr>
                <w:rFonts w:ascii="Times New Roman" w:eastAsia="標楷體" w:hAnsi="Times New Roman" w:cs="Times New Roman"/>
              </w:rPr>
              <w:t>are allowed to</w:t>
            </w:r>
            <w:proofErr w:type="gramEnd"/>
            <w:r w:rsidRPr="00396A5A">
              <w:rPr>
                <w:rFonts w:ascii="Times New Roman" w:eastAsia="標楷體" w:hAnsi="Times New Roman" w:cs="Times New Roman"/>
              </w:rPr>
              <w:t xml:space="preserve"> apply for the Final Oral Dissertation Defense after four months later than they are admitted to the Ph.D. candidacy.</w:t>
            </w:r>
          </w:p>
        </w:tc>
      </w:tr>
      <w:tr w:rsidR="00396A5A" w:rsidRPr="00E0638B" w:rsidTr="00837771">
        <w:trPr>
          <w:jc w:val="center"/>
        </w:trPr>
        <w:tc>
          <w:tcPr>
            <w:tcW w:w="2466" w:type="dxa"/>
            <w:shd w:val="clear" w:color="auto" w:fill="auto"/>
            <w:vAlign w:val="center"/>
          </w:tcPr>
          <w:p w:rsidR="00396A5A" w:rsidRPr="00E0638B" w:rsidRDefault="00396A5A" w:rsidP="00396A5A">
            <w:pPr>
              <w:jc w:val="center"/>
              <w:rPr>
                <w:rFonts w:ascii="Times New Roman" w:eastAsia="標楷體" w:hAnsi="Times New Roman" w:cs="Times New Roman"/>
              </w:rPr>
            </w:pPr>
            <w:r w:rsidRPr="00E0638B">
              <w:rPr>
                <w:rFonts w:ascii="Times New Roman" w:eastAsia="標楷體" w:hAnsi="Times New Roman" w:cs="Times New Roman"/>
              </w:rPr>
              <w:lastRenderedPageBreak/>
              <w:t>學位考試</w:t>
            </w:r>
          </w:p>
          <w:p w:rsidR="00396A5A" w:rsidRPr="00E0638B" w:rsidRDefault="00396A5A" w:rsidP="00396A5A">
            <w:pPr>
              <w:jc w:val="center"/>
              <w:rPr>
                <w:rFonts w:ascii="Times New Roman" w:eastAsia="標楷體" w:hAnsi="Times New Roman" w:cs="Times New Roman"/>
              </w:rPr>
            </w:pPr>
            <w:r w:rsidRPr="00E0638B">
              <w:rPr>
                <w:rFonts w:ascii="Times New Roman" w:eastAsia="標楷體" w:hAnsi="Times New Roman" w:cs="Times New Roman"/>
              </w:rPr>
              <w:t>Final Oral Defense</w:t>
            </w:r>
          </w:p>
        </w:tc>
        <w:tc>
          <w:tcPr>
            <w:tcW w:w="8017" w:type="dxa"/>
            <w:shd w:val="clear" w:color="auto" w:fill="auto"/>
          </w:tcPr>
          <w:p w:rsidR="00396A5A" w:rsidRPr="00396A5A" w:rsidRDefault="00396A5A" w:rsidP="00396A5A">
            <w:pPr>
              <w:numPr>
                <w:ilvl w:val="0"/>
                <w:numId w:val="14"/>
              </w:numPr>
              <w:tabs>
                <w:tab w:val="left" w:pos="324"/>
              </w:tabs>
              <w:jc w:val="both"/>
              <w:rPr>
                <w:rFonts w:ascii="Times New Roman" w:eastAsia="標楷體" w:hAnsi="Times New Roman" w:cs="Times New Roman"/>
              </w:rPr>
            </w:pPr>
            <w:r w:rsidRPr="00E0638B">
              <w:rPr>
                <w:rFonts w:ascii="Times New Roman" w:eastAsia="標楷體" w:hAnsi="Times New Roman" w:cs="Times New Roman"/>
              </w:rPr>
              <w:t>博士候選人申請博士學位考試應準備以下</w:t>
            </w:r>
            <w:r w:rsidRPr="00E0638B">
              <w:rPr>
                <w:rFonts w:ascii="Times New Roman" w:eastAsia="標楷體" w:hAnsi="Times New Roman" w:cs="Times New Roman"/>
              </w:rPr>
              <w:t>:</w:t>
            </w:r>
            <w:r w:rsidRPr="00E0638B">
              <w:rPr>
                <w:rFonts w:ascii="Times New Roman" w:eastAsia="標楷體" w:hAnsi="Times New Roman" w:cs="Times New Roman"/>
              </w:rPr>
              <w:t>博士學位論文口試申請表</w:t>
            </w:r>
            <w:r w:rsidRPr="00E0638B">
              <w:rPr>
                <w:rFonts w:ascii="Times New Roman" w:eastAsia="標楷體" w:hAnsi="Times New Roman" w:cs="Times New Roman"/>
              </w:rPr>
              <w:t>(</w:t>
            </w:r>
            <w:r w:rsidRPr="00E0638B">
              <w:rPr>
                <w:rFonts w:ascii="Times New Roman" w:eastAsia="標楷體" w:hAnsi="Times New Roman" w:cs="Times New Roman"/>
              </w:rPr>
              <w:t>含指導教授建議口試委員名單</w:t>
            </w:r>
            <w:r w:rsidRPr="00E0638B">
              <w:rPr>
                <w:rFonts w:ascii="Times New Roman" w:eastAsia="標楷體" w:hAnsi="Times New Roman" w:cs="Times New Roman"/>
              </w:rPr>
              <w:t>)</w:t>
            </w:r>
            <w:r w:rsidRPr="00E0638B">
              <w:rPr>
                <w:rFonts w:ascii="Times New Roman" w:eastAsia="標楷體" w:hAnsi="Times New Roman" w:cs="Times New Roman"/>
              </w:rPr>
              <w:t>、博士學位候選人資格考核合格證明、學術論文發表清冊、論文全文初稿、</w:t>
            </w:r>
            <w:r w:rsidRPr="00396A5A">
              <w:rPr>
                <w:rFonts w:ascii="Times New Roman" w:eastAsia="標楷體" w:hAnsi="Times New Roman" w:cs="Times New Roman"/>
              </w:rPr>
              <w:t>論文原創性報告</w:t>
            </w:r>
            <w:r w:rsidRPr="00396A5A">
              <w:rPr>
                <w:rFonts w:ascii="Times New Roman" w:eastAsia="標楷體" w:hAnsi="Times New Roman" w:cs="Times New Roman" w:hint="eastAsia"/>
              </w:rPr>
              <w:t>(</w:t>
            </w:r>
            <w:r w:rsidRPr="00396A5A">
              <w:rPr>
                <w:rFonts w:ascii="Times New Roman" w:eastAsia="標楷體" w:hAnsi="Times New Roman" w:cs="Times New Roman" w:hint="eastAsia"/>
              </w:rPr>
              <w:t>比對結果須低於</w:t>
            </w:r>
            <w:r w:rsidRPr="00396A5A">
              <w:rPr>
                <w:rFonts w:ascii="Times New Roman" w:eastAsia="標楷體" w:hAnsi="Times New Roman" w:cs="Times New Roman" w:hint="eastAsia"/>
              </w:rPr>
              <w:t>20%)</w:t>
            </w:r>
            <w:r w:rsidRPr="00396A5A">
              <w:rPr>
                <w:rFonts w:ascii="Times New Roman" w:eastAsia="標楷體" w:hAnsi="Times New Roman" w:cs="Times New Roman"/>
              </w:rPr>
              <w:t>，送本學程學術委員會審查。</w:t>
            </w:r>
          </w:p>
          <w:p w:rsidR="00396A5A" w:rsidRPr="00396A5A" w:rsidRDefault="00396A5A" w:rsidP="00396A5A">
            <w:pPr>
              <w:numPr>
                <w:ilvl w:val="0"/>
                <w:numId w:val="14"/>
              </w:numPr>
              <w:tabs>
                <w:tab w:val="left" w:pos="324"/>
              </w:tabs>
              <w:ind w:left="324" w:hanging="324"/>
              <w:jc w:val="both"/>
              <w:rPr>
                <w:rFonts w:ascii="Times New Roman" w:eastAsia="標楷體" w:hAnsi="Times New Roman" w:cs="Times New Roman"/>
              </w:rPr>
            </w:pPr>
            <w:r w:rsidRPr="00396A5A">
              <w:rPr>
                <w:rFonts w:ascii="Times New Roman" w:eastAsia="標楷體" w:hAnsi="Times New Roman" w:cs="Times New Roman"/>
              </w:rPr>
              <w:t>博士學位考試委員五至九人，由本學</w:t>
            </w:r>
            <w:proofErr w:type="gramStart"/>
            <w:r w:rsidRPr="00396A5A">
              <w:rPr>
                <w:rFonts w:ascii="Times New Roman" w:eastAsia="標楷體" w:hAnsi="Times New Roman" w:cs="Times New Roman"/>
              </w:rPr>
              <w:t>程就校內外</w:t>
            </w:r>
            <w:proofErr w:type="gramEnd"/>
            <w:r w:rsidRPr="00396A5A">
              <w:rPr>
                <w:rFonts w:ascii="Times New Roman" w:eastAsia="標楷體" w:hAnsi="Times New Roman" w:cs="Times New Roman"/>
              </w:rPr>
              <w:t>學者專家中對博士生所提論文有專門研究，校外委員須佔三分之二（含）以上。</w:t>
            </w:r>
          </w:p>
          <w:p w:rsidR="00396A5A" w:rsidRPr="00396A5A" w:rsidRDefault="00396A5A" w:rsidP="00396A5A">
            <w:pPr>
              <w:numPr>
                <w:ilvl w:val="0"/>
                <w:numId w:val="14"/>
              </w:numPr>
              <w:tabs>
                <w:tab w:val="left" w:pos="324"/>
              </w:tabs>
              <w:ind w:left="324" w:hanging="324"/>
              <w:jc w:val="both"/>
              <w:rPr>
                <w:rFonts w:ascii="Times New Roman" w:eastAsia="標楷體" w:hAnsi="Times New Roman" w:cs="Times New Roman"/>
              </w:rPr>
            </w:pPr>
            <w:r w:rsidRPr="00396A5A">
              <w:rPr>
                <w:rFonts w:ascii="Times New Roman" w:eastAsia="標楷體" w:hAnsi="Times New Roman" w:cs="Times New Roman"/>
              </w:rPr>
              <w:t>學位論文（含摘要）以英文撰寫為原則，並須符合「南</w:t>
            </w:r>
            <w:proofErr w:type="gramStart"/>
            <w:r w:rsidRPr="00396A5A">
              <w:rPr>
                <w:rFonts w:ascii="Times New Roman" w:eastAsia="標楷體" w:hAnsi="Times New Roman" w:cs="Times New Roman"/>
              </w:rPr>
              <w:t>臺</w:t>
            </w:r>
            <w:proofErr w:type="gramEnd"/>
            <w:r w:rsidRPr="00396A5A">
              <w:rPr>
                <w:rFonts w:ascii="Times New Roman" w:eastAsia="標楷體" w:hAnsi="Times New Roman" w:cs="Times New Roman"/>
              </w:rPr>
              <w:t>科技大學學位論文格式規範」。學位考試通過後應依國家圖書館規定將論文電子</w:t>
            </w:r>
            <w:proofErr w:type="gramStart"/>
            <w:r w:rsidRPr="00396A5A">
              <w:rPr>
                <w:rFonts w:ascii="Times New Roman" w:eastAsia="標楷體" w:hAnsi="Times New Roman" w:cs="Times New Roman"/>
              </w:rPr>
              <w:t>檔</w:t>
            </w:r>
            <w:proofErr w:type="gramEnd"/>
            <w:r w:rsidRPr="00396A5A">
              <w:rPr>
                <w:rFonts w:ascii="Times New Roman" w:eastAsia="標楷體" w:hAnsi="Times New Roman" w:cs="Times New Roman"/>
              </w:rPr>
              <w:t>上網建檔，並繳交精裝版論文三冊（一冊本院辦、一冊本校圖書館、一冊本校教務處註冊組）陳列。</w:t>
            </w:r>
          </w:p>
          <w:p w:rsidR="00396A5A" w:rsidRPr="00396A5A" w:rsidRDefault="00396A5A" w:rsidP="00396A5A">
            <w:pPr>
              <w:numPr>
                <w:ilvl w:val="0"/>
                <w:numId w:val="14"/>
              </w:numPr>
              <w:tabs>
                <w:tab w:val="left" w:pos="324"/>
              </w:tabs>
              <w:ind w:left="324" w:hanging="324"/>
              <w:jc w:val="both"/>
              <w:rPr>
                <w:rFonts w:ascii="Times New Roman" w:eastAsia="標楷體" w:hAnsi="Times New Roman" w:cs="Times New Roman"/>
              </w:rPr>
            </w:pPr>
            <w:r w:rsidRPr="00396A5A">
              <w:rPr>
                <w:rFonts w:ascii="Times New Roman" w:eastAsia="標楷體" w:hAnsi="Times New Roman" w:cs="Times New Roman"/>
              </w:rPr>
              <w:t>學位考試不通過，得於次學期或次學年申請重考，重考以一次為限，重考不及格者，即</w:t>
            </w:r>
            <w:proofErr w:type="gramStart"/>
            <w:r w:rsidRPr="00396A5A">
              <w:rPr>
                <w:rFonts w:ascii="Times New Roman" w:eastAsia="標楷體" w:hAnsi="Times New Roman" w:cs="Times New Roman"/>
              </w:rPr>
              <w:t>予退</w:t>
            </w:r>
            <w:proofErr w:type="gramEnd"/>
            <w:r w:rsidRPr="00396A5A">
              <w:rPr>
                <w:rFonts w:ascii="Times New Roman" w:eastAsia="標楷體" w:hAnsi="Times New Roman" w:cs="Times New Roman"/>
              </w:rPr>
              <w:t>學。</w:t>
            </w:r>
          </w:p>
          <w:p w:rsidR="00396A5A" w:rsidRPr="00396A5A" w:rsidRDefault="00396A5A" w:rsidP="00396A5A">
            <w:pPr>
              <w:numPr>
                <w:ilvl w:val="0"/>
                <w:numId w:val="16"/>
              </w:numPr>
              <w:pBdr>
                <w:top w:val="nil"/>
                <w:left w:val="nil"/>
                <w:bottom w:val="nil"/>
                <w:right w:val="nil"/>
                <w:between w:val="nil"/>
              </w:pBdr>
              <w:tabs>
                <w:tab w:val="left" w:pos="324"/>
              </w:tabs>
              <w:jc w:val="both"/>
              <w:rPr>
                <w:rFonts w:ascii="Times New Roman" w:eastAsia="標楷體" w:hAnsi="Times New Roman" w:cs="Times New Roman"/>
                <w:color w:val="000000"/>
              </w:rPr>
            </w:pPr>
            <w:r w:rsidRPr="00396A5A">
              <w:rPr>
                <w:rFonts w:ascii="Times New Roman" w:eastAsia="標楷體" w:hAnsi="Times New Roman" w:cs="Times New Roman"/>
                <w:color w:val="000000"/>
              </w:rPr>
              <w:t xml:space="preserve">To apply for the Ph. D. Dissertation Defense, the following documents including Dissertation Oral Defense Application Form (including committee members recommended by the advisor), Dissertation Proposal Passing Evidence, At Least 2 Contribution Acceptance Evidence, Dissertation Draft, and </w:t>
            </w:r>
            <w:r w:rsidRPr="00396A5A">
              <w:rPr>
                <w:rFonts w:ascii="Times New Roman" w:eastAsia="標楷體" w:hAnsi="Times New Roman" w:cs="Times New Roman"/>
              </w:rPr>
              <w:t>Turnitin Report</w:t>
            </w:r>
            <w:r w:rsidRPr="00396A5A">
              <w:rPr>
                <w:rFonts w:ascii="Times New Roman" w:eastAsia="標楷體" w:hAnsi="Times New Roman" w:cs="Times New Roman" w:hint="eastAsia"/>
              </w:rPr>
              <w:t xml:space="preserve"> (</w:t>
            </w:r>
            <w:r w:rsidRPr="00396A5A">
              <w:rPr>
                <w:rFonts w:ascii="Times New Roman" w:eastAsia="標楷體" w:hAnsi="Times New Roman" w:cs="Times New Roman"/>
              </w:rPr>
              <w:t>similarity index below 20%</w:t>
            </w:r>
            <w:r w:rsidRPr="00396A5A">
              <w:rPr>
                <w:rFonts w:ascii="Times New Roman" w:eastAsia="標楷體" w:hAnsi="Times New Roman" w:cs="Times New Roman" w:hint="eastAsia"/>
              </w:rPr>
              <w:t>)</w:t>
            </w:r>
            <w:r w:rsidRPr="00396A5A">
              <w:rPr>
                <w:rFonts w:ascii="Times New Roman" w:eastAsia="標楷體" w:hAnsi="Times New Roman" w:cs="Times New Roman"/>
                <w:color w:val="000000"/>
              </w:rPr>
              <w:t xml:space="preserve"> must be submitted to the College of Business Academic Council for review.</w:t>
            </w:r>
          </w:p>
          <w:p w:rsidR="00396A5A" w:rsidRPr="00E0638B" w:rsidRDefault="00396A5A" w:rsidP="00396A5A">
            <w:pPr>
              <w:numPr>
                <w:ilvl w:val="0"/>
                <w:numId w:val="16"/>
              </w:numPr>
              <w:pBdr>
                <w:top w:val="nil"/>
                <w:left w:val="nil"/>
                <w:bottom w:val="nil"/>
                <w:right w:val="nil"/>
                <w:between w:val="nil"/>
              </w:pBdr>
              <w:tabs>
                <w:tab w:val="left" w:pos="324"/>
              </w:tabs>
              <w:jc w:val="both"/>
              <w:rPr>
                <w:rFonts w:ascii="Times New Roman" w:eastAsia="標楷體" w:hAnsi="Times New Roman" w:cs="Times New Roman"/>
                <w:color w:val="000000"/>
              </w:rPr>
            </w:pPr>
            <w:r w:rsidRPr="00396A5A">
              <w:rPr>
                <w:rFonts w:ascii="Times New Roman" w:eastAsia="標楷體" w:hAnsi="Times New Roman" w:cs="Times New Roman"/>
                <w:color w:val="000000"/>
              </w:rPr>
              <w:t>The Ph.D. Degree Examination Committee normally consists of five to nine members. They are scholars/experts specializ</w:t>
            </w:r>
            <w:r w:rsidRPr="00E0638B">
              <w:rPr>
                <w:rFonts w:ascii="Times New Roman" w:eastAsia="標楷體" w:hAnsi="Times New Roman" w:cs="Times New Roman"/>
                <w:color w:val="000000"/>
              </w:rPr>
              <w:t>ed in the research fields of the doctoral examinee. At least two-third of the Committee membership shall be from outside the institution.</w:t>
            </w:r>
          </w:p>
          <w:p w:rsidR="00396A5A" w:rsidRPr="00E0638B" w:rsidRDefault="00396A5A" w:rsidP="00396A5A">
            <w:pPr>
              <w:numPr>
                <w:ilvl w:val="0"/>
                <w:numId w:val="16"/>
              </w:numPr>
              <w:pBdr>
                <w:top w:val="nil"/>
                <w:left w:val="nil"/>
                <w:bottom w:val="nil"/>
                <w:right w:val="nil"/>
                <w:between w:val="nil"/>
              </w:pBdr>
              <w:tabs>
                <w:tab w:val="left" w:pos="324"/>
              </w:tabs>
              <w:jc w:val="both"/>
              <w:rPr>
                <w:rFonts w:ascii="Times New Roman" w:eastAsia="標楷體" w:hAnsi="Times New Roman" w:cs="Times New Roman"/>
                <w:color w:val="000000"/>
              </w:rPr>
            </w:pPr>
            <w:r w:rsidRPr="00E0638B">
              <w:rPr>
                <w:rFonts w:ascii="Times New Roman" w:eastAsia="標楷體" w:hAnsi="Times New Roman" w:cs="Times New Roman"/>
                <w:color w:val="000000"/>
              </w:rPr>
              <w:t>A Ph.D. dissertation containing an abstract must be written in English and follow the “</w:t>
            </w:r>
            <w:r w:rsidRPr="00E0638B">
              <w:rPr>
                <w:rFonts w:ascii="Times New Roman" w:eastAsia="標楷體" w:hAnsi="Times New Roman" w:cs="Times New Roman"/>
                <w:i/>
                <w:color w:val="000000"/>
              </w:rPr>
              <w:t>STUST Dissertation Format</w:t>
            </w:r>
            <w:r w:rsidRPr="00E0638B">
              <w:rPr>
                <w:rFonts w:ascii="Times New Roman" w:eastAsia="標楷體" w:hAnsi="Times New Roman" w:cs="Times New Roman"/>
                <w:color w:val="000000"/>
              </w:rPr>
              <w:t xml:space="preserve">.” Doctoral candidates should construct an e-file for the dissertation and upload it on the website of National Central Library after a successful completion of Dissertation Defense. In addition, they shall turn in one copy to the College of Business Office, one </w:t>
            </w:r>
            <w:r w:rsidRPr="00E0638B">
              <w:rPr>
                <w:rFonts w:ascii="Times New Roman" w:eastAsia="標楷體" w:hAnsi="Times New Roman" w:cs="Times New Roman"/>
                <w:color w:val="000000"/>
              </w:rPr>
              <w:lastRenderedPageBreak/>
              <w:t>copy to the STUST Library, and one copy to the Registration Office.</w:t>
            </w:r>
          </w:p>
          <w:p w:rsidR="00396A5A" w:rsidRPr="00E0638B" w:rsidRDefault="00396A5A" w:rsidP="00396A5A">
            <w:pPr>
              <w:numPr>
                <w:ilvl w:val="0"/>
                <w:numId w:val="16"/>
              </w:numPr>
              <w:pBdr>
                <w:top w:val="nil"/>
                <w:left w:val="nil"/>
                <w:bottom w:val="nil"/>
                <w:right w:val="nil"/>
                <w:between w:val="nil"/>
              </w:pBdr>
              <w:tabs>
                <w:tab w:val="left" w:pos="324"/>
              </w:tabs>
              <w:jc w:val="both"/>
              <w:rPr>
                <w:rFonts w:ascii="Times New Roman" w:eastAsia="標楷體" w:hAnsi="Times New Roman" w:cs="Times New Roman"/>
                <w:color w:val="000000"/>
              </w:rPr>
            </w:pPr>
            <w:r w:rsidRPr="00E0638B">
              <w:rPr>
                <w:rFonts w:ascii="Times New Roman" w:eastAsia="標楷體" w:hAnsi="Times New Roman" w:cs="Times New Roman"/>
                <w:color w:val="000000"/>
              </w:rPr>
              <w:t>If a Ph.D. Dissertation Defense fails at the first examination, the examination can be repeated only once. A second examination must be held only in a subsequent semester or the next academic year. The second examination will be considered the final. Students failing the second examination are subject to dismissal from the program.</w:t>
            </w:r>
          </w:p>
        </w:tc>
      </w:tr>
      <w:tr w:rsidR="00556F4E" w:rsidRPr="00E0638B" w:rsidTr="00837771">
        <w:trPr>
          <w:jc w:val="center"/>
        </w:trPr>
        <w:tc>
          <w:tcPr>
            <w:tcW w:w="2466" w:type="dxa"/>
            <w:shd w:val="clear" w:color="auto" w:fill="auto"/>
            <w:vAlign w:val="center"/>
          </w:tcPr>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lastRenderedPageBreak/>
              <w:t>期刊論文</w:t>
            </w:r>
          </w:p>
          <w:p w:rsidR="00556F4E" w:rsidRPr="00E0638B" w:rsidRDefault="00D57A81">
            <w:pPr>
              <w:jc w:val="center"/>
              <w:rPr>
                <w:rFonts w:ascii="Times New Roman" w:eastAsia="標楷體" w:hAnsi="Times New Roman" w:cs="Times New Roman"/>
              </w:rPr>
            </w:pPr>
            <w:r w:rsidRPr="00E0638B">
              <w:rPr>
                <w:rFonts w:ascii="Times New Roman" w:eastAsia="標楷體" w:hAnsi="Times New Roman" w:cs="Times New Roman"/>
              </w:rPr>
              <w:t>Publications</w:t>
            </w:r>
          </w:p>
        </w:tc>
        <w:tc>
          <w:tcPr>
            <w:tcW w:w="8017" w:type="dxa"/>
            <w:shd w:val="clear" w:color="auto" w:fill="auto"/>
          </w:tcPr>
          <w:p w:rsidR="00556F4E" w:rsidRPr="00E0638B" w:rsidRDefault="00D57A81">
            <w:pPr>
              <w:spacing w:after="120"/>
              <w:jc w:val="both"/>
              <w:rPr>
                <w:rFonts w:ascii="Times New Roman" w:eastAsia="標楷體" w:hAnsi="Times New Roman" w:cs="Times New Roman"/>
              </w:rPr>
            </w:pPr>
            <w:r w:rsidRPr="00E0638B">
              <w:rPr>
                <w:rFonts w:ascii="Times New Roman" w:eastAsia="標楷體" w:hAnsi="Times New Roman" w:cs="Times New Roman"/>
              </w:rPr>
              <w:t>本學程學生在院內提案口試前至少要發表一篇期刊論文。此篇論文須與現任指導教授合著，學生必須為論文的第一或通訊作者，其餘合著者必須為本校師生。</w:t>
            </w:r>
          </w:p>
          <w:p w:rsidR="00556F4E" w:rsidRPr="00E0638B" w:rsidRDefault="00D57A81">
            <w:pPr>
              <w:spacing w:after="120"/>
              <w:jc w:val="both"/>
              <w:rPr>
                <w:rFonts w:ascii="Times New Roman" w:eastAsia="標楷體" w:hAnsi="Times New Roman" w:cs="Times New Roman"/>
              </w:rPr>
            </w:pPr>
            <w:r w:rsidRPr="00E0638B">
              <w:rPr>
                <w:rFonts w:ascii="Times New Roman" w:eastAsia="標楷體" w:hAnsi="Times New Roman" w:cs="Times New Roman"/>
              </w:rPr>
              <w:t>博士候選人在博士學位考試前至少要發表兩篇以上論文，一篇為</w:t>
            </w:r>
            <w:r w:rsidRPr="00E0638B">
              <w:rPr>
                <w:rFonts w:ascii="Times New Roman" w:eastAsia="標楷體" w:hAnsi="Times New Roman" w:cs="Times New Roman"/>
              </w:rPr>
              <w:t>SSCI</w:t>
            </w:r>
            <w:r w:rsidRPr="00E0638B">
              <w:rPr>
                <w:rFonts w:ascii="Times New Roman" w:eastAsia="標楷體" w:hAnsi="Times New Roman" w:cs="Times New Roman"/>
              </w:rPr>
              <w:t>、</w:t>
            </w:r>
            <w:r w:rsidRPr="00E0638B">
              <w:rPr>
                <w:rFonts w:ascii="Times New Roman" w:eastAsia="標楷體" w:hAnsi="Times New Roman" w:cs="Times New Roman"/>
              </w:rPr>
              <w:t>SCI</w:t>
            </w:r>
            <w:r w:rsidR="00CA1938">
              <w:rPr>
                <w:rFonts w:ascii="Times New Roman" w:eastAsia="標楷體" w:hAnsi="Times New Roman" w:cs="Times New Roman"/>
              </w:rPr>
              <w:t>E</w:t>
            </w:r>
            <w:r w:rsidRPr="00E0638B">
              <w:rPr>
                <w:rFonts w:ascii="Times New Roman" w:eastAsia="標楷體" w:hAnsi="Times New Roman" w:cs="Times New Roman"/>
              </w:rPr>
              <w:t>、</w:t>
            </w:r>
            <w:r w:rsidRPr="00E0638B">
              <w:rPr>
                <w:rFonts w:ascii="Times New Roman" w:eastAsia="標楷體" w:hAnsi="Times New Roman" w:cs="Times New Roman"/>
              </w:rPr>
              <w:t>Scopus</w:t>
            </w:r>
            <w:r w:rsidRPr="00E0638B">
              <w:rPr>
                <w:rFonts w:ascii="Times New Roman" w:eastAsia="標楷體" w:hAnsi="Times New Roman" w:cs="Times New Roman"/>
              </w:rPr>
              <w:t>、</w:t>
            </w:r>
            <w:proofErr w:type="spellStart"/>
            <w:r w:rsidRPr="00E0638B">
              <w:rPr>
                <w:rFonts w:ascii="Times New Roman" w:eastAsia="標楷體" w:hAnsi="Times New Roman" w:cs="Times New Roman"/>
              </w:rPr>
              <w:t>Econlit</w:t>
            </w:r>
            <w:proofErr w:type="spellEnd"/>
            <w:r w:rsidRPr="00E0638B">
              <w:rPr>
                <w:rFonts w:ascii="Times New Roman" w:eastAsia="標楷體" w:hAnsi="Times New Roman" w:cs="Times New Roman"/>
              </w:rPr>
              <w:t>或</w:t>
            </w:r>
            <w:r w:rsidRPr="00E0638B">
              <w:rPr>
                <w:rFonts w:ascii="Times New Roman" w:eastAsia="標楷體" w:hAnsi="Times New Roman" w:cs="Times New Roman"/>
              </w:rPr>
              <w:t>TSSCI</w:t>
            </w:r>
            <w:r w:rsidRPr="00E0638B">
              <w:rPr>
                <w:rFonts w:ascii="Times New Roman" w:eastAsia="標楷體" w:hAnsi="Times New Roman" w:cs="Times New Roman"/>
              </w:rPr>
              <w:t>之論文，另一篇至少為國內外具嚴謹審稿制度之期刊論文。此兩篇論文須與現任指導教授合著，學生必須為論文的第一或通訊作者，其餘合著者必須為本校師生。然，在指導教授同意下，兩篇期刊論文之</w:t>
            </w:r>
            <w:proofErr w:type="gramStart"/>
            <w:r w:rsidRPr="00E0638B">
              <w:rPr>
                <w:rFonts w:ascii="Times New Roman" w:eastAsia="標楷體" w:hAnsi="Times New Roman" w:cs="Times New Roman"/>
              </w:rPr>
              <w:t>一</w:t>
            </w:r>
            <w:proofErr w:type="gramEnd"/>
            <w:r w:rsidRPr="00E0638B">
              <w:rPr>
                <w:rFonts w:ascii="Times New Roman" w:eastAsia="標楷體" w:hAnsi="Times New Roman" w:cs="Times New Roman"/>
              </w:rPr>
              <w:t>得以與現任指導教授及他校研究者合著，惟論文須列名於</w:t>
            </w:r>
            <w:r w:rsidRPr="00E0638B">
              <w:rPr>
                <w:rFonts w:ascii="Times New Roman" w:eastAsia="標楷體" w:hAnsi="Times New Roman" w:cs="Times New Roman"/>
              </w:rPr>
              <w:t>ABDC Journal Quality List</w:t>
            </w:r>
            <w:r w:rsidRPr="00E0638B">
              <w:rPr>
                <w:rFonts w:ascii="Times New Roman" w:eastAsia="標楷體" w:hAnsi="Times New Roman" w:cs="Times New Roman"/>
              </w:rPr>
              <w:t>「</w:t>
            </w:r>
            <w:r w:rsidRPr="00E0638B">
              <w:rPr>
                <w:rFonts w:ascii="Times New Roman" w:eastAsia="標楷體" w:hAnsi="Times New Roman" w:cs="Times New Roman"/>
              </w:rPr>
              <w:t>A</w:t>
            </w:r>
            <w:r w:rsidRPr="00E0638B">
              <w:rPr>
                <w:rFonts w:ascii="Times New Roman" w:eastAsia="標楷體" w:hAnsi="Times New Roman" w:cs="Times New Roman"/>
              </w:rPr>
              <w:t>級以上」或</w:t>
            </w:r>
            <w:r w:rsidRPr="00E0638B">
              <w:rPr>
                <w:rFonts w:ascii="Times New Roman" w:eastAsia="標楷體" w:hAnsi="Times New Roman" w:cs="Times New Roman"/>
              </w:rPr>
              <w:t>Academic Journal Guide (ABS)</w:t>
            </w:r>
            <w:r w:rsidRPr="00E0638B">
              <w:rPr>
                <w:rFonts w:ascii="Times New Roman" w:eastAsia="標楷體" w:hAnsi="Times New Roman" w:cs="Times New Roman"/>
              </w:rPr>
              <w:t>「</w:t>
            </w:r>
            <w:r w:rsidRPr="00E0638B">
              <w:rPr>
                <w:rFonts w:ascii="Times New Roman" w:eastAsia="標楷體" w:hAnsi="Times New Roman" w:cs="Times New Roman"/>
              </w:rPr>
              <w:t>3</w:t>
            </w:r>
            <w:r w:rsidRPr="00E0638B">
              <w:rPr>
                <w:rFonts w:ascii="Times New Roman" w:eastAsia="標楷體" w:hAnsi="Times New Roman" w:cs="Times New Roman"/>
              </w:rPr>
              <w:t>分」以上之期刊，且學生必須為本論文之第一或通訊作者。</w:t>
            </w:r>
          </w:p>
          <w:p w:rsidR="00556F4E" w:rsidRPr="00E0638B" w:rsidRDefault="00D57A81">
            <w:pPr>
              <w:spacing w:after="120"/>
              <w:jc w:val="both"/>
              <w:rPr>
                <w:rFonts w:ascii="Times New Roman" w:eastAsia="標楷體" w:hAnsi="Times New Roman" w:cs="Times New Roman"/>
              </w:rPr>
            </w:pPr>
            <w:r w:rsidRPr="00E0638B">
              <w:rPr>
                <w:rFonts w:ascii="Times New Roman" w:eastAsia="標楷體" w:hAnsi="Times New Roman" w:cs="Times New Roman"/>
              </w:rPr>
              <w:t>博士生若欲於第三學年之前畢業，在申請博士學位考試前，除了要滿足上述的條件之外，必須再發表一篇為</w:t>
            </w:r>
            <w:r w:rsidRPr="00E0638B">
              <w:rPr>
                <w:rFonts w:ascii="Times New Roman" w:eastAsia="標楷體" w:hAnsi="Times New Roman" w:cs="Times New Roman"/>
              </w:rPr>
              <w:t>SSCI</w:t>
            </w:r>
            <w:r w:rsidRPr="00E0638B">
              <w:rPr>
                <w:rFonts w:ascii="Times New Roman" w:eastAsia="標楷體" w:hAnsi="Times New Roman" w:cs="Times New Roman"/>
              </w:rPr>
              <w:t>、</w:t>
            </w:r>
            <w:r w:rsidRPr="00E0638B">
              <w:rPr>
                <w:rFonts w:ascii="Times New Roman" w:eastAsia="標楷體" w:hAnsi="Times New Roman" w:cs="Times New Roman"/>
              </w:rPr>
              <w:t>SCI</w:t>
            </w:r>
            <w:r w:rsidR="00CA1938">
              <w:rPr>
                <w:rFonts w:ascii="Times New Roman" w:eastAsia="標楷體" w:hAnsi="Times New Roman" w:cs="Times New Roman"/>
              </w:rPr>
              <w:t>E</w:t>
            </w:r>
            <w:r w:rsidRPr="00E0638B">
              <w:rPr>
                <w:rFonts w:ascii="Times New Roman" w:eastAsia="標楷體" w:hAnsi="Times New Roman" w:cs="Times New Roman"/>
              </w:rPr>
              <w:t>或</w:t>
            </w:r>
            <w:r w:rsidRPr="00E0638B">
              <w:rPr>
                <w:rFonts w:ascii="Times New Roman" w:eastAsia="標楷體" w:hAnsi="Times New Roman" w:cs="Times New Roman"/>
              </w:rPr>
              <w:t>Scopus Q1</w:t>
            </w:r>
            <w:r w:rsidRPr="00E0638B">
              <w:rPr>
                <w:rFonts w:ascii="Times New Roman" w:eastAsia="標楷體" w:hAnsi="Times New Roman" w:cs="Times New Roman"/>
              </w:rPr>
              <w:t>之論文，此篇論文須與現任指導教授合著，學生必須為論文的第一或通訊作者，其餘合著者必須為本校師生。</w:t>
            </w:r>
          </w:p>
          <w:p w:rsidR="00556F4E" w:rsidRPr="00E0638B" w:rsidRDefault="00D57A81">
            <w:pPr>
              <w:spacing w:after="120"/>
              <w:jc w:val="both"/>
              <w:rPr>
                <w:rFonts w:ascii="Times New Roman" w:eastAsia="標楷體" w:hAnsi="Times New Roman" w:cs="Times New Roman"/>
              </w:rPr>
            </w:pPr>
            <w:r w:rsidRPr="00E0638B">
              <w:rPr>
                <w:rFonts w:ascii="Times New Roman" w:eastAsia="標楷體" w:hAnsi="Times New Roman" w:cs="Times New Roman"/>
              </w:rPr>
              <w:t>Each doctoral student must publish at least one peer-reviewed journal article coauthored with their present advisor(s) before applying for proposal defense. The doctoral student should be the first or corresponding author of the article, and any other coauthor(s) must be a faculty member or student of STUST.</w:t>
            </w:r>
          </w:p>
          <w:p w:rsidR="00556F4E" w:rsidRPr="00E0638B" w:rsidRDefault="00D57A81">
            <w:pPr>
              <w:widowControl/>
              <w:spacing w:after="120"/>
              <w:rPr>
                <w:rFonts w:ascii="Times New Roman" w:eastAsia="標楷體" w:hAnsi="Times New Roman" w:cs="Times New Roman"/>
              </w:rPr>
            </w:pPr>
            <w:r w:rsidRPr="00E0638B">
              <w:rPr>
                <w:rFonts w:ascii="Times New Roman" w:eastAsia="標楷體" w:hAnsi="Times New Roman" w:cs="Times New Roman"/>
              </w:rPr>
              <w:t>Ph.D. candidates must publish at least two peer-reviewed journal articles coauthored with their present advisor(s) before applying for dissertation oral defense. For these two articles, one must be indexed in SSCI, SCI</w:t>
            </w:r>
            <w:r w:rsidR="00CA1938">
              <w:rPr>
                <w:rFonts w:ascii="Times New Roman" w:eastAsia="標楷體" w:hAnsi="Times New Roman" w:cs="Times New Roman"/>
              </w:rPr>
              <w:t>E</w:t>
            </w:r>
            <w:r w:rsidRPr="00E0638B">
              <w:rPr>
                <w:rFonts w:ascii="Times New Roman" w:eastAsia="標楷體" w:hAnsi="Times New Roman" w:cs="Times New Roman"/>
              </w:rPr>
              <w:t xml:space="preserve">, Scopus, </w:t>
            </w:r>
            <w:proofErr w:type="spellStart"/>
            <w:r w:rsidRPr="00E0638B">
              <w:rPr>
                <w:rFonts w:ascii="Times New Roman" w:eastAsia="標楷體" w:hAnsi="Times New Roman" w:cs="Times New Roman"/>
              </w:rPr>
              <w:t>Econlit</w:t>
            </w:r>
            <w:proofErr w:type="spellEnd"/>
            <w:r w:rsidRPr="00E0638B">
              <w:rPr>
                <w:rFonts w:ascii="Times New Roman" w:eastAsia="標楷體" w:hAnsi="Times New Roman" w:cs="Times New Roman"/>
              </w:rPr>
              <w:t xml:space="preserve"> or TSSCI, and the other must be recognized as meticulous and approved by the program director. The student should be the first or corresponding author of these two articles, and any other coauthor(s) must be a faculty member or student of STUST. Nevertheless, under the approval by the advisor, if either of the two journal articles is listed on the ABDC Journal Quality List </w:t>
            </w:r>
            <w:proofErr w:type="gramStart"/>
            <w:r w:rsidRPr="00E0638B">
              <w:rPr>
                <w:rFonts w:ascii="Times New Roman" w:eastAsia="標楷體" w:hAnsi="Times New Roman" w:cs="Times New Roman"/>
              </w:rPr>
              <w:t>ranked</w:t>
            </w:r>
            <w:proofErr w:type="gramEnd"/>
            <w:r w:rsidRPr="00E0638B">
              <w:rPr>
                <w:rFonts w:ascii="Times New Roman" w:eastAsia="標楷體" w:hAnsi="Times New Roman" w:cs="Times New Roman"/>
              </w:rPr>
              <w:t xml:space="preserve"> A or above, or Academic Journal Guide (ABS) ranked 3 or above, then the article can be coauthored by the student’s present advisor(s) and by a researcher from other universities. And the student should be the first or corresponding author of the article.</w:t>
            </w:r>
          </w:p>
          <w:p w:rsidR="00556F4E" w:rsidRPr="00E0638B" w:rsidRDefault="00D57A81">
            <w:pPr>
              <w:widowControl/>
              <w:rPr>
                <w:rFonts w:ascii="Times New Roman" w:eastAsia="標楷體" w:hAnsi="Times New Roman" w:cs="Times New Roman"/>
              </w:rPr>
            </w:pPr>
            <w:r w:rsidRPr="00E0638B">
              <w:rPr>
                <w:rFonts w:ascii="Times New Roman" w:eastAsia="標楷體" w:hAnsi="Times New Roman" w:cs="Times New Roman"/>
              </w:rPr>
              <w:t>For any doctoral student who plans to graduate before the third academic year, besides meeting the requirements specified above, s/he must further publish one journal article indexed in SSCI, SCI</w:t>
            </w:r>
            <w:r w:rsidR="00CA1938">
              <w:rPr>
                <w:rFonts w:ascii="Times New Roman" w:eastAsia="標楷體" w:hAnsi="Times New Roman" w:cs="Times New Roman"/>
              </w:rPr>
              <w:t>E</w:t>
            </w:r>
            <w:r w:rsidRPr="00E0638B">
              <w:rPr>
                <w:rFonts w:ascii="Times New Roman" w:eastAsia="標楷體" w:hAnsi="Times New Roman" w:cs="Times New Roman"/>
              </w:rPr>
              <w:t>, or Scopus Q1 coauthored with their present advisor(s) before applying for dissertation oral defense. The PhD candidate should be the first or corresponding author of the article, and any other coauthor(s) must be a faculty member or student of STUST.</w:t>
            </w:r>
          </w:p>
        </w:tc>
      </w:tr>
    </w:tbl>
    <w:p w:rsidR="00556F4E" w:rsidRPr="00E0638B" w:rsidRDefault="00556F4E">
      <w:pPr>
        <w:pStyle w:val="1"/>
        <w:ind w:left="0"/>
        <w:rPr>
          <w:rFonts w:ascii="Times New Roman" w:eastAsia="標楷體" w:hAnsi="Times New Roman" w:cs="Times New Roman"/>
          <w:color w:val="17365D"/>
        </w:rPr>
      </w:pPr>
    </w:p>
    <w:p w:rsidR="00D57A81" w:rsidRPr="009F2C4B" w:rsidRDefault="00D57A81" w:rsidP="00A87323">
      <w:pPr>
        <w:widowControl/>
        <w:rPr>
          <w:rFonts w:ascii="Times New Roman" w:eastAsia="標楷體" w:hAnsi="Times New Roman" w:cs="Times New Roman"/>
          <w:color w:val="FF0000"/>
          <w:sz w:val="28"/>
          <w:szCs w:val="28"/>
        </w:rPr>
      </w:pPr>
      <w:bookmarkStart w:id="0" w:name="_GoBack"/>
      <w:bookmarkEnd w:id="0"/>
    </w:p>
    <w:sectPr w:rsidR="00D57A81" w:rsidRPr="009F2C4B" w:rsidSect="00A87323">
      <w:footerReference w:type="default" r:id="rId8"/>
      <w:pgSz w:w="11906" w:h="16838"/>
      <w:pgMar w:top="567" w:right="567" w:bottom="567" w:left="567" w:header="283" w:footer="5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E4E" w:rsidRDefault="001E1E4E">
      <w:r>
        <w:separator/>
      </w:r>
    </w:p>
  </w:endnote>
  <w:endnote w:type="continuationSeparator" w:id="0">
    <w:p w:rsidR="001E1E4E" w:rsidRDefault="001E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771" w:rsidRDefault="00837771">
    <w:pPr>
      <w:pBdr>
        <w:top w:val="nil"/>
        <w:left w:val="nil"/>
        <w:bottom w:val="nil"/>
        <w:right w:val="nil"/>
        <w:between w:val="nil"/>
      </w:pBdr>
      <w:tabs>
        <w:tab w:val="center" w:pos="4153"/>
        <w:tab w:val="right" w:pos="8306"/>
      </w:tabs>
      <w:jc w:val="center"/>
      <w:rPr>
        <w:color w:val="000000"/>
        <w:sz w:val="20"/>
        <w:szCs w:val="20"/>
      </w:rPr>
    </w:pPr>
  </w:p>
  <w:p w:rsidR="00837771" w:rsidRDefault="0083777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E4E" w:rsidRDefault="001E1E4E">
      <w:r>
        <w:separator/>
      </w:r>
    </w:p>
  </w:footnote>
  <w:footnote w:type="continuationSeparator" w:id="0">
    <w:p w:rsidR="001E1E4E" w:rsidRDefault="001E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a0a0a0" stroked="f"/>
    </w:pict>
  </w:numPicBullet>
  <w:abstractNum w:abstractNumId="0" w15:restartNumberingAfterBreak="0">
    <w:nsid w:val="078B047A"/>
    <w:multiLevelType w:val="hybridMultilevel"/>
    <w:tmpl w:val="C1B282A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C7B6B21"/>
    <w:multiLevelType w:val="multilevel"/>
    <w:tmpl w:val="545CD75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75363E"/>
    <w:multiLevelType w:val="multilevel"/>
    <w:tmpl w:val="65DC0BC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9D2993"/>
    <w:multiLevelType w:val="multilevel"/>
    <w:tmpl w:val="45E0EE0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143E45CE"/>
    <w:multiLevelType w:val="hybridMultilevel"/>
    <w:tmpl w:val="C7E2D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DA1CFB"/>
    <w:multiLevelType w:val="hybridMultilevel"/>
    <w:tmpl w:val="104A56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D870D0"/>
    <w:multiLevelType w:val="multilevel"/>
    <w:tmpl w:val="685C077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9755C21"/>
    <w:multiLevelType w:val="hybridMultilevel"/>
    <w:tmpl w:val="60622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777D41"/>
    <w:multiLevelType w:val="hybridMultilevel"/>
    <w:tmpl w:val="C35E8A54"/>
    <w:lvl w:ilvl="0" w:tplc="3E32508C">
      <w:start w:val="1"/>
      <w:numFmt w:val="upperLetter"/>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485A36"/>
    <w:multiLevelType w:val="multilevel"/>
    <w:tmpl w:val="423C759A"/>
    <w:lvl w:ilvl="0">
      <w:start w:val="1"/>
      <w:numFmt w:val="upperLetter"/>
      <w:lvlText w:val="%1."/>
      <w:lvlJc w:val="left"/>
      <w:pPr>
        <w:ind w:left="360" w:hanging="360"/>
      </w:pPr>
      <w:rPr>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FEF4C2E"/>
    <w:multiLevelType w:val="hybridMultilevel"/>
    <w:tmpl w:val="63E6DC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A0377F"/>
    <w:multiLevelType w:val="hybridMultilevel"/>
    <w:tmpl w:val="D728D594"/>
    <w:lvl w:ilvl="0" w:tplc="5234EA0C">
      <w:start w:val="1"/>
      <w:numFmt w:val="decimal"/>
      <w:lvlText w:val="%1."/>
      <w:lvlJc w:val="left"/>
      <w:pPr>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9F7320"/>
    <w:multiLevelType w:val="multilevel"/>
    <w:tmpl w:val="C4CA1648"/>
    <w:lvl w:ilvl="0">
      <w:start w:val="1"/>
      <w:numFmt w:val="upperLetter"/>
      <w:lvlText w:val="%1."/>
      <w:lvlJc w:val="left"/>
      <w:pPr>
        <w:ind w:left="360" w:hanging="360"/>
      </w:pPr>
      <w:rPr>
        <w:b w:val="0"/>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8934189"/>
    <w:multiLevelType w:val="multilevel"/>
    <w:tmpl w:val="C3D68BF6"/>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4" w15:restartNumberingAfterBreak="0">
    <w:nsid w:val="2FAA46C9"/>
    <w:multiLevelType w:val="hybridMultilevel"/>
    <w:tmpl w:val="077ECC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F7262A"/>
    <w:multiLevelType w:val="multilevel"/>
    <w:tmpl w:val="8F4254DA"/>
    <w:lvl w:ilvl="0">
      <w:start w:val="1"/>
      <w:numFmt w:val="decimal"/>
      <w:lvlText w:val="%1."/>
      <w:lvlJc w:val="left"/>
      <w:pPr>
        <w:ind w:left="480" w:hanging="480"/>
      </w:pPr>
    </w:lvl>
    <w:lvl w:ilvl="1">
      <w:start w:val="10"/>
      <w:numFmt w:val="bullet"/>
      <w:lvlText w:val="□"/>
      <w:lvlJc w:val="left"/>
      <w:pPr>
        <w:ind w:left="840" w:hanging="360"/>
      </w:pPr>
      <w:rPr>
        <w:rFonts w:ascii="標楷體" w:eastAsia="標楷體" w:hAnsi="標楷體" w:cs="標楷體"/>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29709E4"/>
    <w:multiLevelType w:val="multilevel"/>
    <w:tmpl w:val="516C3448"/>
    <w:lvl w:ilvl="0">
      <w:start w:val="1"/>
      <w:numFmt w:val="decimal"/>
      <w:lvlText w:val="%1)"/>
      <w:lvlJc w:val="left"/>
      <w:pPr>
        <w:ind w:left="63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7B40F1"/>
    <w:multiLevelType w:val="hybridMultilevel"/>
    <w:tmpl w:val="D292CC7A"/>
    <w:lvl w:ilvl="0" w:tplc="3CBEB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4F7A78"/>
    <w:multiLevelType w:val="hybridMultilevel"/>
    <w:tmpl w:val="12A816D4"/>
    <w:lvl w:ilvl="0" w:tplc="0409000F">
      <w:start w:val="1"/>
      <w:numFmt w:val="decimal"/>
      <w:lvlText w:val="%1."/>
      <w:lvlJc w:val="left"/>
      <w:pPr>
        <w:ind w:left="480" w:hanging="480"/>
      </w:pPr>
    </w:lvl>
    <w:lvl w:ilvl="1" w:tplc="1E786538">
      <w:start w:val="10"/>
      <w:numFmt w:val="bullet"/>
      <w:lvlText w:val="□"/>
      <w:lvlJc w:val="left"/>
      <w:pPr>
        <w:ind w:left="840" w:hanging="360"/>
      </w:pPr>
      <w:rPr>
        <w:rFonts w:ascii="標楷體" w:eastAsia="標楷體" w:hAnsi="標楷體" w:cstheme="minorBidi" w:hint="eastAsia"/>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FF2005"/>
    <w:multiLevelType w:val="multilevel"/>
    <w:tmpl w:val="440C021C"/>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0" w15:restartNumberingAfterBreak="0">
    <w:nsid w:val="39A068CF"/>
    <w:multiLevelType w:val="hybridMultilevel"/>
    <w:tmpl w:val="967A4B46"/>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ECB268B"/>
    <w:multiLevelType w:val="hybridMultilevel"/>
    <w:tmpl w:val="BB60D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7C643A"/>
    <w:multiLevelType w:val="hybridMultilevel"/>
    <w:tmpl w:val="967A4B46"/>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57B472E"/>
    <w:multiLevelType w:val="multilevel"/>
    <w:tmpl w:val="C59200EC"/>
    <w:lvl w:ilvl="0">
      <w:start w:val="1"/>
      <w:numFmt w:val="decimal"/>
      <w:lvlText w:val="%1"/>
      <w:lvlJc w:val="left"/>
      <w:pPr>
        <w:ind w:left="567" w:hanging="425"/>
      </w:pPr>
    </w:lvl>
    <w:lvl w:ilvl="1">
      <w:start w:val="1"/>
      <w:numFmt w:val="decimal"/>
      <w:lvlText w:val="%1.%2"/>
      <w:lvlJc w:val="left"/>
      <w:pPr>
        <w:ind w:left="1134" w:hanging="567"/>
      </w:pPr>
    </w:lvl>
    <w:lvl w:ilvl="2">
      <w:start w:val="1"/>
      <w:numFmt w:val="decimal"/>
      <w:lvlText w:val="%1.%2.%3"/>
      <w:lvlJc w:val="left"/>
      <w:pPr>
        <w:ind w:left="1560" w:hanging="567"/>
      </w:pPr>
    </w:lvl>
    <w:lvl w:ilvl="3">
      <w:start w:val="1"/>
      <w:numFmt w:val="decimal"/>
      <w:lvlText w:val="%1.%2.%3.%4"/>
      <w:lvlJc w:val="left"/>
      <w:pPr>
        <w:ind w:left="2126" w:hanging="708"/>
      </w:pPr>
    </w:lvl>
    <w:lvl w:ilvl="4">
      <w:start w:val="1"/>
      <w:numFmt w:val="decimal"/>
      <w:lvlText w:val="%1.%2.%3.%4.%5"/>
      <w:lvlJc w:val="left"/>
      <w:pPr>
        <w:ind w:left="2693" w:hanging="850"/>
      </w:pPr>
    </w:lvl>
    <w:lvl w:ilvl="5">
      <w:start w:val="1"/>
      <w:numFmt w:val="decimal"/>
      <w:lvlText w:val="%1.%2.%3.%4.%5.%6"/>
      <w:lvlJc w:val="left"/>
      <w:pPr>
        <w:ind w:left="3402" w:hanging="1134"/>
      </w:pPr>
    </w:lvl>
    <w:lvl w:ilvl="6">
      <w:start w:val="1"/>
      <w:numFmt w:val="decimal"/>
      <w:lvlText w:val="%1.%2.%3.%4.%5.%6.%7"/>
      <w:lvlJc w:val="left"/>
      <w:pPr>
        <w:ind w:left="3969" w:hanging="1276"/>
      </w:pPr>
    </w:lvl>
    <w:lvl w:ilvl="7">
      <w:start w:val="1"/>
      <w:numFmt w:val="decimal"/>
      <w:lvlText w:val="%1.%2.%3.%4.%5.%6.%7.%8"/>
      <w:lvlJc w:val="left"/>
      <w:pPr>
        <w:ind w:left="4536" w:hanging="1418"/>
      </w:pPr>
    </w:lvl>
    <w:lvl w:ilvl="8">
      <w:start w:val="1"/>
      <w:numFmt w:val="decimal"/>
      <w:lvlText w:val="%1.%2.%3.%4.%5.%6.%7.%8.%9"/>
      <w:lvlJc w:val="left"/>
      <w:pPr>
        <w:ind w:left="5244" w:hanging="1700"/>
      </w:pPr>
    </w:lvl>
  </w:abstractNum>
  <w:abstractNum w:abstractNumId="24" w15:restartNumberingAfterBreak="0">
    <w:nsid w:val="46DA5852"/>
    <w:multiLevelType w:val="hybridMultilevel"/>
    <w:tmpl w:val="2C261E48"/>
    <w:lvl w:ilvl="0" w:tplc="4072DD9C">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372192"/>
    <w:multiLevelType w:val="hybridMultilevel"/>
    <w:tmpl w:val="4B58D43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6" w15:restartNumberingAfterBreak="0">
    <w:nsid w:val="48CD194C"/>
    <w:multiLevelType w:val="hybridMultilevel"/>
    <w:tmpl w:val="52D42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5D3F73"/>
    <w:multiLevelType w:val="multilevel"/>
    <w:tmpl w:val="0409001D"/>
    <w:lvl w:ilvl="0">
      <w:start w:val="1"/>
      <w:numFmt w:val="decimal"/>
      <w:lvlText w:val="%1"/>
      <w:lvlJc w:val="left"/>
      <w:pPr>
        <w:ind w:left="567" w:hanging="425"/>
      </w:pPr>
    </w:lvl>
    <w:lvl w:ilvl="1">
      <w:start w:val="1"/>
      <w:numFmt w:val="decimal"/>
      <w:lvlText w:val="%1.%2"/>
      <w:lvlJc w:val="left"/>
      <w:pPr>
        <w:ind w:left="1134" w:hanging="567"/>
      </w:pPr>
    </w:lvl>
    <w:lvl w:ilvl="2">
      <w:start w:val="1"/>
      <w:numFmt w:val="decimal"/>
      <w:lvlText w:val="%1.%2.%3"/>
      <w:lvlJc w:val="left"/>
      <w:pPr>
        <w:ind w:left="1560" w:hanging="567"/>
      </w:pPr>
    </w:lvl>
    <w:lvl w:ilvl="3">
      <w:start w:val="1"/>
      <w:numFmt w:val="decimal"/>
      <w:lvlText w:val="%1.%2.%3.%4"/>
      <w:lvlJc w:val="left"/>
      <w:pPr>
        <w:ind w:left="2126" w:hanging="708"/>
      </w:pPr>
    </w:lvl>
    <w:lvl w:ilvl="4">
      <w:start w:val="1"/>
      <w:numFmt w:val="decimal"/>
      <w:lvlText w:val="%1.%2.%3.%4.%5"/>
      <w:lvlJc w:val="left"/>
      <w:pPr>
        <w:ind w:left="2693" w:hanging="850"/>
      </w:pPr>
    </w:lvl>
    <w:lvl w:ilvl="5">
      <w:start w:val="1"/>
      <w:numFmt w:val="decimal"/>
      <w:lvlText w:val="%1.%2.%3.%4.%5.%6"/>
      <w:lvlJc w:val="left"/>
      <w:pPr>
        <w:ind w:left="3402" w:hanging="1134"/>
      </w:pPr>
    </w:lvl>
    <w:lvl w:ilvl="6">
      <w:start w:val="1"/>
      <w:numFmt w:val="decimal"/>
      <w:lvlText w:val="%1.%2.%3.%4.%5.%6.%7"/>
      <w:lvlJc w:val="left"/>
      <w:pPr>
        <w:ind w:left="3969" w:hanging="1276"/>
      </w:pPr>
    </w:lvl>
    <w:lvl w:ilvl="7">
      <w:start w:val="1"/>
      <w:numFmt w:val="decimal"/>
      <w:lvlText w:val="%1.%2.%3.%4.%5.%6.%7.%8"/>
      <w:lvlJc w:val="left"/>
      <w:pPr>
        <w:ind w:left="4536" w:hanging="1418"/>
      </w:pPr>
    </w:lvl>
    <w:lvl w:ilvl="8">
      <w:start w:val="1"/>
      <w:numFmt w:val="decimal"/>
      <w:lvlText w:val="%1.%2.%3.%4.%5.%6.%7.%8.%9"/>
      <w:lvlJc w:val="left"/>
      <w:pPr>
        <w:ind w:left="5244" w:hanging="1700"/>
      </w:pPr>
    </w:lvl>
  </w:abstractNum>
  <w:abstractNum w:abstractNumId="28" w15:restartNumberingAfterBreak="0">
    <w:nsid w:val="4D642C43"/>
    <w:multiLevelType w:val="hybridMultilevel"/>
    <w:tmpl w:val="60FCF868"/>
    <w:lvl w:ilvl="0" w:tplc="93EEA15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E916647"/>
    <w:multiLevelType w:val="hybridMultilevel"/>
    <w:tmpl w:val="82EE51B4"/>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F1C359B"/>
    <w:multiLevelType w:val="hybridMultilevel"/>
    <w:tmpl w:val="906A992E"/>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1597A9D"/>
    <w:multiLevelType w:val="hybridMultilevel"/>
    <w:tmpl w:val="471C6D26"/>
    <w:lvl w:ilvl="0" w:tplc="E6F27C8C">
      <w:start w:val="1"/>
      <w:numFmt w:val="decimal"/>
      <w:lvlText w:val="%1)"/>
      <w:lvlJc w:val="left"/>
      <w:pPr>
        <w:ind w:left="63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3441FE0"/>
    <w:multiLevelType w:val="multilevel"/>
    <w:tmpl w:val="23A847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8161923"/>
    <w:multiLevelType w:val="multilevel"/>
    <w:tmpl w:val="38C0A87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87C5357"/>
    <w:multiLevelType w:val="multilevel"/>
    <w:tmpl w:val="EA6A656C"/>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5" w15:restartNumberingAfterBreak="0">
    <w:nsid w:val="5B7B5A60"/>
    <w:multiLevelType w:val="multilevel"/>
    <w:tmpl w:val="996EB5B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B9E7972"/>
    <w:multiLevelType w:val="hybridMultilevel"/>
    <w:tmpl w:val="D728D594"/>
    <w:lvl w:ilvl="0" w:tplc="5234EA0C">
      <w:start w:val="1"/>
      <w:numFmt w:val="decimal"/>
      <w:lvlText w:val="%1."/>
      <w:lvlJc w:val="left"/>
      <w:pPr>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04C0BDA"/>
    <w:multiLevelType w:val="hybridMultilevel"/>
    <w:tmpl w:val="B7946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B071D3"/>
    <w:multiLevelType w:val="multilevel"/>
    <w:tmpl w:val="FA0E7FE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9" w15:restartNumberingAfterBreak="0">
    <w:nsid w:val="6C4A11CB"/>
    <w:multiLevelType w:val="multilevel"/>
    <w:tmpl w:val="884077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CE317BF"/>
    <w:multiLevelType w:val="hybridMultilevel"/>
    <w:tmpl w:val="9CACF3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FEF69CB"/>
    <w:multiLevelType w:val="hybridMultilevel"/>
    <w:tmpl w:val="AC72FC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35A0E6C"/>
    <w:multiLevelType w:val="hybridMultilevel"/>
    <w:tmpl w:val="3AF07D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DB4BDB"/>
    <w:multiLevelType w:val="hybridMultilevel"/>
    <w:tmpl w:val="8D8A84EA"/>
    <w:lvl w:ilvl="0" w:tplc="70C46982">
      <w:start w:val="1"/>
      <w:numFmt w:val="upperLetter"/>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C3F5D"/>
    <w:multiLevelType w:val="hybridMultilevel"/>
    <w:tmpl w:val="82EE51B4"/>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6"/>
  </w:num>
  <w:num w:numId="3">
    <w:abstractNumId w:val="35"/>
  </w:num>
  <w:num w:numId="4">
    <w:abstractNumId w:val="9"/>
  </w:num>
  <w:num w:numId="5">
    <w:abstractNumId w:val="3"/>
  </w:num>
  <w:num w:numId="6">
    <w:abstractNumId w:val="34"/>
  </w:num>
  <w:num w:numId="7">
    <w:abstractNumId w:val="19"/>
  </w:num>
  <w:num w:numId="8">
    <w:abstractNumId w:val="12"/>
  </w:num>
  <w:num w:numId="9">
    <w:abstractNumId w:val="13"/>
  </w:num>
  <w:num w:numId="10">
    <w:abstractNumId w:val="38"/>
  </w:num>
  <w:num w:numId="11">
    <w:abstractNumId w:val="39"/>
  </w:num>
  <w:num w:numId="12">
    <w:abstractNumId w:val="1"/>
  </w:num>
  <w:num w:numId="13">
    <w:abstractNumId w:val="15"/>
  </w:num>
  <w:num w:numId="14">
    <w:abstractNumId w:val="32"/>
  </w:num>
  <w:num w:numId="15">
    <w:abstractNumId w:val="23"/>
  </w:num>
  <w:num w:numId="16">
    <w:abstractNumId w:val="33"/>
  </w:num>
  <w:num w:numId="17">
    <w:abstractNumId w:val="2"/>
  </w:num>
  <w:num w:numId="18">
    <w:abstractNumId w:val="24"/>
  </w:num>
  <w:num w:numId="19">
    <w:abstractNumId w:val="2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14"/>
  </w:num>
  <w:num w:numId="27">
    <w:abstractNumId w:val="40"/>
  </w:num>
  <w:num w:numId="28">
    <w:abstractNumId w:val="41"/>
  </w:num>
  <w:num w:numId="29">
    <w:abstractNumId w:val="5"/>
  </w:num>
  <w:num w:numId="30">
    <w:abstractNumId w:val="26"/>
  </w:num>
  <w:num w:numId="31">
    <w:abstractNumId w:val="18"/>
  </w:num>
  <w:num w:numId="32">
    <w:abstractNumId w:val="20"/>
  </w:num>
  <w:num w:numId="33">
    <w:abstractNumId w:val="22"/>
  </w:num>
  <w:num w:numId="34">
    <w:abstractNumId w:val="44"/>
  </w:num>
  <w:num w:numId="35">
    <w:abstractNumId w:val="42"/>
  </w:num>
  <w:num w:numId="36">
    <w:abstractNumId w:val="37"/>
  </w:num>
  <w:num w:numId="37">
    <w:abstractNumId w:val="4"/>
  </w:num>
  <w:num w:numId="38">
    <w:abstractNumId w:val="8"/>
  </w:num>
  <w:num w:numId="39">
    <w:abstractNumId w:val="0"/>
  </w:num>
  <w:num w:numId="40">
    <w:abstractNumId w:val="43"/>
  </w:num>
  <w:num w:numId="41">
    <w:abstractNumId w:val="10"/>
  </w:num>
  <w:num w:numId="42">
    <w:abstractNumId w:val="21"/>
  </w:num>
  <w:num w:numId="43">
    <w:abstractNumId w:val="7"/>
  </w:num>
  <w:num w:numId="44">
    <w:abstractNumId w:val="1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4E"/>
    <w:rsid w:val="0005771B"/>
    <w:rsid w:val="000766D5"/>
    <w:rsid w:val="000C502A"/>
    <w:rsid w:val="00124A31"/>
    <w:rsid w:val="00173C4D"/>
    <w:rsid w:val="001E1E4E"/>
    <w:rsid w:val="00387083"/>
    <w:rsid w:val="00396A5A"/>
    <w:rsid w:val="003E42A7"/>
    <w:rsid w:val="00556F4E"/>
    <w:rsid w:val="006142CB"/>
    <w:rsid w:val="00660F01"/>
    <w:rsid w:val="006C0872"/>
    <w:rsid w:val="00833FE6"/>
    <w:rsid w:val="00837771"/>
    <w:rsid w:val="00926681"/>
    <w:rsid w:val="009D5E46"/>
    <w:rsid w:val="00A87323"/>
    <w:rsid w:val="00A905C4"/>
    <w:rsid w:val="00B17E2B"/>
    <w:rsid w:val="00BD71CF"/>
    <w:rsid w:val="00CA1938"/>
    <w:rsid w:val="00D57A81"/>
    <w:rsid w:val="00D65668"/>
    <w:rsid w:val="00D8243F"/>
    <w:rsid w:val="00DE6F6E"/>
    <w:rsid w:val="00E01F20"/>
    <w:rsid w:val="00E0638B"/>
    <w:rsid w:val="00E33C3B"/>
    <w:rsid w:val="00EA5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EFDA9"/>
  <w15:docId w15:val="{C6C032A7-56F3-4FAE-815C-1E3A8524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925"/>
  </w:style>
  <w:style w:type="paragraph" w:styleId="1">
    <w:name w:val="heading 1"/>
    <w:basedOn w:val="a"/>
    <w:link w:val="10"/>
    <w:uiPriority w:val="1"/>
    <w:qFormat/>
    <w:rsid w:val="00A90925"/>
    <w:pPr>
      <w:autoSpaceDE w:val="0"/>
      <w:autoSpaceDN w:val="0"/>
      <w:ind w:left="114"/>
      <w:outlineLvl w:val="0"/>
    </w:pPr>
    <w:rPr>
      <w:rFonts w:ascii="微軟正黑體" w:eastAsia="微軟正黑體" w:hAnsi="微軟正黑體" w:cs="微軟正黑體"/>
      <w:b/>
      <w:bCs/>
      <w:sz w:val="40"/>
      <w:szCs w:val="40"/>
      <w:lang w:eastAsia="en-US"/>
    </w:rPr>
  </w:style>
  <w:style w:type="paragraph" w:styleId="2">
    <w:name w:val="heading 2"/>
    <w:basedOn w:val="a"/>
    <w:next w:val="a"/>
    <w:link w:val="20"/>
    <w:uiPriority w:val="9"/>
    <w:unhideWhenUsed/>
    <w:qFormat/>
    <w:rsid w:val="006A6ED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5C5539"/>
    <w:pPr>
      <w:widowControl/>
      <w:spacing w:before="60" w:after="60"/>
      <w:outlineLvl w:val="0"/>
    </w:pPr>
    <w:rPr>
      <w:rFonts w:asciiTheme="majorHAnsi" w:hAnsiTheme="majorHAnsi" w:cs="Arial"/>
      <w:b/>
      <w:bCs/>
      <w:kern w:val="28"/>
      <w:sz w:val="72"/>
      <w:szCs w:val="32"/>
      <w:lang w:eastAsia="en-US"/>
    </w:rPr>
  </w:style>
  <w:style w:type="table" w:styleId="a5">
    <w:name w:val="Table Grid"/>
    <w:basedOn w:val="a1"/>
    <w:uiPriority w:val="59"/>
    <w:rsid w:val="00A9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A90925"/>
    <w:pPr>
      <w:ind w:leftChars="200" w:left="480"/>
    </w:pPr>
  </w:style>
  <w:style w:type="paragraph" w:styleId="a8">
    <w:name w:val="Body Text"/>
    <w:basedOn w:val="a"/>
    <w:link w:val="a9"/>
    <w:uiPriority w:val="1"/>
    <w:qFormat/>
    <w:rsid w:val="00A90925"/>
    <w:pPr>
      <w:autoSpaceDE w:val="0"/>
      <w:autoSpaceDN w:val="0"/>
    </w:pPr>
    <w:rPr>
      <w:rFonts w:ascii="Times New Roman" w:eastAsia="Times New Roman" w:hAnsi="Times New Roman" w:cs="Times New Roman"/>
      <w:lang w:eastAsia="en-US"/>
    </w:rPr>
  </w:style>
  <w:style w:type="character" w:customStyle="1" w:styleId="a9">
    <w:name w:val="本文 字元"/>
    <w:basedOn w:val="a0"/>
    <w:link w:val="a8"/>
    <w:uiPriority w:val="1"/>
    <w:rsid w:val="00A90925"/>
    <w:rPr>
      <w:rFonts w:ascii="Times New Roman" w:eastAsia="Times New Roman" w:hAnsi="Times New Roman" w:cs="Times New Roman"/>
      <w:kern w:val="0"/>
      <w:szCs w:val="24"/>
      <w:lang w:eastAsia="en-US"/>
    </w:rPr>
  </w:style>
  <w:style w:type="character" w:customStyle="1" w:styleId="10">
    <w:name w:val="標題 1 字元"/>
    <w:basedOn w:val="a0"/>
    <w:link w:val="1"/>
    <w:uiPriority w:val="1"/>
    <w:rsid w:val="00A90925"/>
    <w:rPr>
      <w:rFonts w:ascii="微軟正黑體" w:eastAsia="微軟正黑體" w:hAnsi="微軟正黑體" w:cs="微軟正黑體"/>
      <w:b/>
      <w:bCs/>
      <w:kern w:val="0"/>
      <w:sz w:val="40"/>
      <w:szCs w:val="40"/>
      <w:lang w:eastAsia="en-US"/>
    </w:rPr>
  </w:style>
  <w:style w:type="paragraph" w:styleId="aa">
    <w:name w:val="Balloon Text"/>
    <w:basedOn w:val="a"/>
    <w:link w:val="ab"/>
    <w:uiPriority w:val="99"/>
    <w:semiHidden/>
    <w:unhideWhenUsed/>
    <w:rsid w:val="00A9092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90925"/>
    <w:rPr>
      <w:rFonts w:asciiTheme="majorHAnsi" w:eastAsiaTheme="majorEastAsia" w:hAnsiTheme="majorHAnsi" w:cstheme="majorBidi"/>
      <w:sz w:val="18"/>
      <w:szCs w:val="18"/>
    </w:rPr>
  </w:style>
  <w:style w:type="character" w:styleId="ac">
    <w:name w:val="Hyperlink"/>
    <w:basedOn w:val="a0"/>
    <w:uiPriority w:val="99"/>
    <w:unhideWhenUsed/>
    <w:rsid w:val="00A90925"/>
    <w:rPr>
      <w:color w:val="0000FF" w:themeColor="hyperlink"/>
      <w:u w:val="single"/>
    </w:rPr>
  </w:style>
  <w:style w:type="paragraph" w:styleId="ad">
    <w:name w:val="header"/>
    <w:basedOn w:val="a"/>
    <w:link w:val="ae"/>
    <w:unhideWhenUsed/>
    <w:rsid w:val="00A90925"/>
    <w:pPr>
      <w:tabs>
        <w:tab w:val="center" w:pos="4153"/>
        <w:tab w:val="right" w:pos="8306"/>
      </w:tabs>
      <w:snapToGrid w:val="0"/>
    </w:pPr>
    <w:rPr>
      <w:sz w:val="20"/>
      <w:szCs w:val="20"/>
    </w:rPr>
  </w:style>
  <w:style w:type="character" w:customStyle="1" w:styleId="ae">
    <w:name w:val="頁首 字元"/>
    <w:basedOn w:val="a0"/>
    <w:link w:val="ad"/>
    <w:rsid w:val="00A90925"/>
    <w:rPr>
      <w:sz w:val="20"/>
      <w:szCs w:val="20"/>
    </w:rPr>
  </w:style>
  <w:style w:type="paragraph" w:styleId="af">
    <w:name w:val="footer"/>
    <w:basedOn w:val="a"/>
    <w:link w:val="af0"/>
    <w:uiPriority w:val="99"/>
    <w:unhideWhenUsed/>
    <w:rsid w:val="00A90925"/>
    <w:pPr>
      <w:tabs>
        <w:tab w:val="center" w:pos="4153"/>
        <w:tab w:val="right" w:pos="8306"/>
      </w:tabs>
      <w:snapToGrid w:val="0"/>
    </w:pPr>
    <w:rPr>
      <w:sz w:val="20"/>
      <w:szCs w:val="20"/>
    </w:rPr>
  </w:style>
  <w:style w:type="character" w:customStyle="1" w:styleId="af0">
    <w:name w:val="頁尾 字元"/>
    <w:basedOn w:val="a0"/>
    <w:link w:val="af"/>
    <w:uiPriority w:val="99"/>
    <w:rsid w:val="00A90925"/>
    <w:rPr>
      <w:sz w:val="20"/>
      <w:szCs w:val="20"/>
    </w:rPr>
  </w:style>
  <w:style w:type="character" w:styleId="af1">
    <w:name w:val="Emphasis"/>
    <w:basedOn w:val="a0"/>
    <w:uiPriority w:val="20"/>
    <w:qFormat/>
    <w:rsid w:val="0003347C"/>
    <w:rPr>
      <w:i/>
      <w:iCs/>
    </w:rPr>
  </w:style>
  <w:style w:type="paragraph" w:styleId="af2">
    <w:name w:val="No Spacing"/>
    <w:qFormat/>
    <w:rsid w:val="0003347C"/>
  </w:style>
  <w:style w:type="character" w:customStyle="1" w:styleId="a7">
    <w:name w:val="清單段落 字元"/>
    <w:link w:val="a6"/>
    <w:uiPriority w:val="34"/>
    <w:locked/>
    <w:rsid w:val="0003347C"/>
  </w:style>
  <w:style w:type="character" w:customStyle="1" w:styleId="a4">
    <w:name w:val="標題 字元"/>
    <w:basedOn w:val="a0"/>
    <w:link w:val="a3"/>
    <w:rsid w:val="005C5539"/>
    <w:rPr>
      <w:rFonts w:asciiTheme="majorHAnsi" w:hAnsiTheme="majorHAnsi" w:cs="Arial"/>
      <w:b/>
      <w:bCs/>
      <w:kern w:val="28"/>
      <w:sz w:val="72"/>
      <w:szCs w:val="32"/>
      <w:lang w:eastAsia="en-US"/>
    </w:rPr>
  </w:style>
  <w:style w:type="character" w:styleId="af3">
    <w:name w:val="Subtle Emphasis"/>
    <w:uiPriority w:val="19"/>
    <w:qFormat/>
    <w:rsid w:val="005C5539"/>
    <w:rPr>
      <w:rFonts w:asciiTheme="minorHAnsi" w:hAnsiTheme="minorHAnsi"/>
      <w:sz w:val="20"/>
    </w:rPr>
  </w:style>
  <w:style w:type="table" w:customStyle="1" w:styleId="11">
    <w:name w:val="表格格線1"/>
    <w:basedOn w:val="a1"/>
    <w:uiPriority w:val="59"/>
    <w:rsid w:val="006A6ED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A6EDA"/>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0"/>
    <w:link w:val="2"/>
    <w:uiPriority w:val="9"/>
    <w:semiHidden/>
    <w:rsid w:val="006A6EDA"/>
    <w:rPr>
      <w:rFonts w:asciiTheme="majorHAnsi" w:eastAsiaTheme="majorEastAsia" w:hAnsiTheme="majorHAnsi" w:cstheme="majorBidi"/>
      <w:b/>
      <w:bCs/>
      <w:sz w:val="48"/>
      <w:szCs w:val="48"/>
    </w:rPr>
  </w:style>
  <w:style w:type="paragraph" w:customStyle="1" w:styleId="Standard">
    <w:name w:val="Standard"/>
    <w:rsid w:val="006A6EDA"/>
    <w:pPr>
      <w:suppressAutoHyphens/>
      <w:autoSpaceDN w:val="0"/>
      <w:textAlignment w:val="baseline"/>
    </w:pPr>
    <w:rPr>
      <w:rFonts w:ascii="Times New Roman" w:eastAsia="新細明體, PMingLiU" w:hAnsi="Times New Roman" w:cs="Times New Roman"/>
      <w:kern w:val="3"/>
      <w:szCs w:val="20"/>
    </w:rPr>
  </w:style>
  <w:style w:type="character" w:customStyle="1" w:styleId="Internetlink">
    <w:name w:val="Internet link"/>
    <w:rsid w:val="006A6EDA"/>
    <w:rPr>
      <w:color w:val="0000FF"/>
      <w:u w:val="single"/>
    </w:rPr>
  </w:style>
  <w:style w:type="character" w:styleId="af4">
    <w:name w:val="Strong"/>
    <w:basedOn w:val="a0"/>
    <w:uiPriority w:val="22"/>
    <w:qFormat/>
    <w:rsid w:val="003158BF"/>
    <w:rPr>
      <w:b/>
      <w:bCs/>
    </w:rPr>
  </w:style>
  <w:style w:type="character" w:customStyle="1" w:styleId="j-title-breadcrumb">
    <w:name w:val="j-title-breadcrumb"/>
    <w:basedOn w:val="a0"/>
    <w:rsid w:val="004B0F04"/>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CellMar>
        <w:left w:w="108" w:type="dxa"/>
        <w:right w:w="108" w:type="dxa"/>
      </w:tblCellMar>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8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MnNbVT6E6c45ykuAf/+NDDDhQ==">CgMxLjAaJAoBMBIfCh0IB0IZCgVBcmlhbBIQQXJpYWwgVW5pY29kZSBNUxojCgExEh4KHAgHQhgKD1RpbWVzIE5ldyBSb21hbhIFQ2FyZG8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QoCNDkSHwodCAdCGQoFQXJpYWwSEEFyaWFsIFVuaWNvZGUgTVMaJQoCNTASHwodCAdCGQoFQXJpYWwSEEFyaWFsIFVuaWNvZGUgTVMaJgoCNTESIAoeCAdCGgoPVGltZXMgTmV3IFJvbWFuEgdHdW5nc3VoGiYKAjUyEiAKHggHQhoKD1RpbWVzIE5ldyBSb21hbhIHR3VuZ3N1aBouCgI1MxIoCiYIB0IiCg5IZWx2ZXRpY2EgTmV1ZRIQQXJpYWwgVW5pY29kZSBNUx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yCGguZ2pkZ3hzMgloLjMwajB6bGwyCWguMWZvYjl0ZTgAciExQzE4UWhYMWVpczFEdmhrWTFiYWtoMWlsa2lJNWtrc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GMBA</dc:creator>
  <cp:lastModifiedBy>Owner</cp:lastModifiedBy>
  <cp:revision>6</cp:revision>
  <dcterms:created xsi:type="dcterms:W3CDTF">2025-01-09T06:49:00Z</dcterms:created>
  <dcterms:modified xsi:type="dcterms:W3CDTF">2025-01-21T03:50:00Z</dcterms:modified>
</cp:coreProperties>
</file>