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B1" w:rsidRPr="00884454" w:rsidRDefault="00CB39B1" w:rsidP="00884454">
      <w:pPr>
        <w:spacing w:line="360" w:lineRule="exact"/>
        <w:jc w:val="center"/>
        <w:rPr>
          <w:rFonts w:ascii="標楷體" w:eastAsia="標楷體" w:hAnsi="標楷體" w:cs="新細明體"/>
          <w:b/>
          <w:bCs/>
          <w:kern w:val="0"/>
          <w:sz w:val="36"/>
          <w:szCs w:val="36"/>
        </w:rPr>
      </w:pPr>
      <w:r w:rsidRPr="00884454">
        <w:rPr>
          <w:rFonts w:ascii="標楷體" w:eastAsia="標楷體" w:hAnsi="標楷體" w:cs="新細明體"/>
          <w:b/>
          <w:bCs/>
          <w:kern w:val="0"/>
          <w:sz w:val="36"/>
          <w:szCs w:val="36"/>
        </w:rPr>
        <w:t>南</w:t>
      </w:r>
      <w:proofErr w:type="gramStart"/>
      <w:r w:rsidRPr="00884454">
        <w:rPr>
          <w:rFonts w:ascii="標楷體" w:eastAsia="標楷體" w:hAnsi="標楷體" w:cs="新細明體"/>
          <w:b/>
          <w:bCs/>
          <w:kern w:val="0"/>
          <w:sz w:val="36"/>
          <w:szCs w:val="36"/>
        </w:rPr>
        <w:t>臺</w:t>
      </w:r>
      <w:proofErr w:type="gramEnd"/>
      <w:r w:rsidRPr="00884454">
        <w:rPr>
          <w:rFonts w:ascii="標楷體" w:eastAsia="標楷體" w:hAnsi="標楷體" w:cs="新細明體"/>
          <w:b/>
          <w:bCs/>
          <w:kern w:val="0"/>
          <w:sz w:val="36"/>
          <w:szCs w:val="36"/>
        </w:rPr>
        <w:t>科技大學性別平等教育實施規定</w:t>
      </w:r>
    </w:p>
    <w:p w:rsidR="00CB39B1" w:rsidRPr="00884454" w:rsidRDefault="00CB39B1" w:rsidP="00CB39B1">
      <w:pPr>
        <w:autoSpaceDE w:val="0"/>
        <w:autoSpaceDN w:val="0"/>
        <w:adjustRightInd w:val="0"/>
        <w:snapToGrid w:val="0"/>
        <w:spacing w:beforeLines="50" w:before="180" w:line="240" w:lineRule="exact"/>
        <w:jc w:val="right"/>
        <w:rPr>
          <w:rFonts w:eastAsia="標楷體"/>
          <w:kern w:val="0"/>
          <w:sz w:val="20"/>
          <w:szCs w:val="20"/>
        </w:rPr>
      </w:pPr>
      <w:r w:rsidRPr="00884454">
        <w:rPr>
          <w:rFonts w:eastAsia="標楷體"/>
          <w:kern w:val="0"/>
          <w:sz w:val="20"/>
          <w:szCs w:val="20"/>
        </w:rPr>
        <w:t>99</w:t>
      </w:r>
      <w:r w:rsidRPr="00884454">
        <w:rPr>
          <w:rFonts w:eastAsia="標楷體"/>
          <w:kern w:val="0"/>
          <w:sz w:val="20"/>
          <w:szCs w:val="20"/>
        </w:rPr>
        <w:t>年</w:t>
      </w:r>
      <w:r w:rsidRPr="00884454">
        <w:rPr>
          <w:rFonts w:eastAsia="標楷體"/>
          <w:kern w:val="0"/>
          <w:sz w:val="20"/>
          <w:szCs w:val="20"/>
        </w:rPr>
        <w:t>01</w:t>
      </w:r>
      <w:r w:rsidRPr="00884454">
        <w:rPr>
          <w:rFonts w:eastAsia="標楷體"/>
          <w:kern w:val="0"/>
          <w:sz w:val="20"/>
          <w:szCs w:val="20"/>
        </w:rPr>
        <w:t>月</w:t>
      </w:r>
      <w:r w:rsidRPr="00884454">
        <w:rPr>
          <w:rFonts w:eastAsia="標楷體"/>
          <w:kern w:val="0"/>
          <w:sz w:val="20"/>
          <w:szCs w:val="20"/>
        </w:rPr>
        <w:t>13</w:t>
      </w:r>
      <w:r w:rsidRPr="00884454">
        <w:rPr>
          <w:rFonts w:eastAsia="標楷體"/>
          <w:kern w:val="0"/>
          <w:sz w:val="20"/>
          <w:szCs w:val="20"/>
        </w:rPr>
        <w:t>日性別平等教育委員會會議通過</w:t>
      </w:r>
    </w:p>
    <w:p w:rsidR="00CB39B1" w:rsidRPr="00884454" w:rsidRDefault="00CB39B1" w:rsidP="00CB39B1">
      <w:pPr>
        <w:autoSpaceDE w:val="0"/>
        <w:autoSpaceDN w:val="0"/>
        <w:adjustRightInd w:val="0"/>
        <w:snapToGrid w:val="0"/>
        <w:spacing w:line="240" w:lineRule="exact"/>
        <w:jc w:val="right"/>
        <w:rPr>
          <w:rFonts w:eastAsia="標楷體"/>
          <w:kern w:val="0"/>
          <w:sz w:val="20"/>
          <w:szCs w:val="20"/>
        </w:rPr>
      </w:pPr>
      <w:r w:rsidRPr="00884454">
        <w:rPr>
          <w:rFonts w:eastAsia="標楷體"/>
          <w:kern w:val="0"/>
          <w:sz w:val="20"/>
          <w:szCs w:val="20"/>
        </w:rPr>
        <w:t>106</w:t>
      </w:r>
      <w:r w:rsidRPr="00884454">
        <w:rPr>
          <w:rFonts w:eastAsia="標楷體"/>
          <w:kern w:val="0"/>
          <w:sz w:val="20"/>
          <w:szCs w:val="20"/>
        </w:rPr>
        <w:t>年</w:t>
      </w:r>
      <w:r w:rsidRPr="00884454">
        <w:rPr>
          <w:rFonts w:eastAsia="標楷體" w:hint="eastAsia"/>
          <w:kern w:val="0"/>
          <w:sz w:val="20"/>
          <w:szCs w:val="20"/>
        </w:rPr>
        <w:t>10</w:t>
      </w:r>
      <w:r w:rsidRPr="00884454">
        <w:rPr>
          <w:rFonts w:eastAsia="標楷體"/>
          <w:kern w:val="0"/>
          <w:sz w:val="20"/>
          <w:szCs w:val="20"/>
        </w:rPr>
        <w:t>月</w:t>
      </w:r>
      <w:r w:rsidRPr="00884454">
        <w:rPr>
          <w:rFonts w:eastAsia="標楷體" w:hint="eastAsia"/>
          <w:kern w:val="0"/>
          <w:sz w:val="20"/>
          <w:szCs w:val="20"/>
        </w:rPr>
        <w:t>17</w:t>
      </w:r>
      <w:r w:rsidRPr="00884454">
        <w:rPr>
          <w:rFonts w:eastAsia="標楷體"/>
          <w:kern w:val="0"/>
          <w:sz w:val="20"/>
          <w:szCs w:val="20"/>
        </w:rPr>
        <w:t>日性別平等教育委員會會議修正通過</w:t>
      </w:r>
    </w:p>
    <w:p w:rsidR="00CB39B1" w:rsidRPr="00884454" w:rsidRDefault="00CB39B1" w:rsidP="00CB39B1">
      <w:pPr>
        <w:autoSpaceDE w:val="0"/>
        <w:autoSpaceDN w:val="0"/>
        <w:adjustRightInd w:val="0"/>
        <w:snapToGrid w:val="0"/>
        <w:spacing w:line="240" w:lineRule="exact"/>
        <w:jc w:val="right"/>
        <w:rPr>
          <w:rFonts w:eastAsia="標楷體"/>
          <w:kern w:val="0"/>
          <w:sz w:val="20"/>
          <w:szCs w:val="20"/>
        </w:rPr>
      </w:pPr>
    </w:p>
    <w:p w:rsidR="00CB39B1" w:rsidRPr="00884454" w:rsidRDefault="00CB39B1" w:rsidP="00CB39B1">
      <w:pPr>
        <w:autoSpaceDE w:val="0"/>
        <w:autoSpaceDN w:val="0"/>
        <w:adjustRightInd w:val="0"/>
        <w:snapToGrid w:val="0"/>
        <w:spacing w:line="400" w:lineRule="exact"/>
        <w:ind w:left="460" w:hangingChars="177" w:hanging="460"/>
        <w:rPr>
          <w:rFonts w:eastAsia="標楷體"/>
          <w:sz w:val="26"/>
          <w:szCs w:val="26"/>
        </w:rPr>
      </w:pPr>
      <w:r w:rsidRPr="00884454">
        <w:rPr>
          <w:rFonts w:eastAsia="標楷體"/>
          <w:sz w:val="26"/>
          <w:szCs w:val="26"/>
        </w:rPr>
        <w:t>一、南</w:t>
      </w:r>
      <w:proofErr w:type="gramStart"/>
      <w:r w:rsidRPr="00884454">
        <w:rPr>
          <w:rFonts w:eastAsia="標楷體"/>
          <w:sz w:val="26"/>
          <w:szCs w:val="26"/>
        </w:rPr>
        <w:t>臺</w:t>
      </w:r>
      <w:proofErr w:type="gramEnd"/>
      <w:r w:rsidRPr="00884454">
        <w:rPr>
          <w:rFonts w:eastAsia="標楷體"/>
          <w:sz w:val="26"/>
          <w:szCs w:val="26"/>
        </w:rPr>
        <w:t>科技大學</w:t>
      </w:r>
      <w:r w:rsidRPr="00884454">
        <w:rPr>
          <w:rFonts w:eastAsia="標楷體"/>
          <w:sz w:val="26"/>
          <w:szCs w:val="26"/>
        </w:rPr>
        <w:t>(</w:t>
      </w:r>
      <w:r w:rsidRPr="00884454">
        <w:rPr>
          <w:rFonts w:eastAsia="標楷體"/>
          <w:sz w:val="26"/>
          <w:szCs w:val="26"/>
        </w:rPr>
        <w:t>以下簡稱本校</w:t>
      </w:r>
      <w:r w:rsidRPr="00884454">
        <w:rPr>
          <w:rFonts w:eastAsia="標楷體"/>
          <w:sz w:val="26"/>
          <w:szCs w:val="26"/>
        </w:rPr>
        <w:t>)</w:t>
      </w:r>
      <w:r w:rsidRPr="00884454">
        <w:rPr>
          <w:rFonts w:eastAsia="標楷體"/>
          <w:sz w:val="26"/>
          <w:szCs w:val="26"/>
        </w:rPr>
        <w:t>為積極推動性別平等教育，以提升教職員工生尊重多元性別差異，消除性別歧視，促進性別地位之實質平等，依據「性別平等教育法」第十二條，訂定本規定。</w:t>
      </w:r>
    </w:p>
    <w:p w:rsidR="00CB39B1" w:rsidRPr="00884454" w:rsidRDefault="00CB39B1" w:rsidP="00CB39B1">
      <w:pPr>
        <w:spacing w:line="400" w:lineRule="exact"/>
        <w:jc w:val="both"/>
        <w:rPr>
          <w:rFonts w:eastAsia="標楷體"/>
          <w:sz w:val="26"/>
          <w:szCs w:val="26"/>
        </w:rPr>
      </w:pPr>
      <w:r w:rsidRPr="00884454">
        <w:rPr>
          <w:rFonts w:eastAsia="標楷體"/>
          <w:sz w:val="26"/>
          <w:szCs w:val="26"/>
        </w:rPr>
        <w:t>二、性別平等教育實施原則</w:t>
      </w:r>
    </w:p>
    <w:p w:rsidR="00CB39B1" w:rsidRPr="00884454" w:rsidRDefault="00CB39B1" w:rsidP="00CB39B1">
      <w:pPr>
        <w:spacing w:line="400" w:lineRule="exact"/>
        <w:jc w:val="both"/>
        <w:rPr>
          <w:rFonts w:eastAsia="標楷體"/>
          <w:sz w:val="26"/>
          <w:szCs w:val="26"/>
        </w:rPr>
      </w:pPr>
      <w:r w:rsidRPr="00884454">
        <w:rPr>
          <w:rFonts w:eastAsia="標楷體"/>
          <w:sz w:val="26"/>
          <w:szCs w:val="26"/>
        </w:rPr>
        <w:t xml:space="preserve">    (</w:t>
      </w:r>
      <w:proofErr w:type="gramStart"/>
      <w:r w:rsidRPr="00884454">
        <w:rPr>
          <w:rFonts w:eastAsia="標楷體"/>
          <w:sz w:val="26"/>
          <w:szCs w:val="26"/>
        </w:rPr>
        <w:t>一</w:t>
      </w:r>
      <w:proofErr w:type="gramEnd"/>
      <w:r w:rsidRPr="00884454">
        <w:rPr>
          <w:rFonts w:eastAsia="標楷體"/>
          <w:sz w:val="26"/>
          <w:szCs w:val="26"/>
        </w:rPr>
        <w:t>)</w:t>
      </w:r>
      <w:r w:rsidRPr="00884454">
        <w:rPr>
          <w:rFonts w:eastAsia="標楷體"/>
          <w:sz w:val="26"/>
          <w:szCs w:val="26"/>
        </w:rPr>
        <w:t>學習環境與資源：</w:t>
      </w:r>
    </w:p>
    <w:p w:rsidR="00884454" w:rsidRDefault="00CB39B1" w:rsidP="00CB39B1">
      <w:pPr>
        <w:pStyle w:val="a9"/>
        <w:numPr>
          <w:ilvl w:val="0"/>
          <w:numId w:val="4"/>
        </w:numPr>
        <w:spacing w:line="400" w:lineRule="exact"/>
        <w:ind w:leftChars="0" w:left="1276" w:hanging="283"/>
        <w:jc w:val="both"/>
        <w:rPr>
          <w:rFonts w:eastAsia="標楷體"/>
          <w:sz w:val="26"/>
          <w:szCs w:val="26"/>
        </w:rPr>
      </w:pPr>
      <w:r w:rsidRPr="00884454">
        <w:rPr>
          <w:rFonts w:eastAsia="標楷體"/>
          <w:sz w:val="26"/>
          <w:szCs w:val="26"/>
        </w:rPr>
        <w:t>學校之招生及就學許可不得有性別、性別特質、性別認同或性傾向之差別待遇。</w:t>
      </w:r>
    </w:p>
    <w:p w:rsidR="00884454" w:rsidRDefault="00CB39B1" w:rsidP="00CB39B1">
      <w:pPr>
        <w:pStyle w:val="a9"/>
        <w:numPr>
          <w:ilvl w:val="0"/>
          <w:numId w:val="4"/>
        </w:numPr>
        <w:spacing w:line="400" w:lineRule="exact"/>
        <w:ind w:leftChars="0" w:left="1276" w:hanging="283"/>
        <w:jc w:val="both"/>
        <w:rPr>
          <w:rFonts w:eastAsia="標楷體"/>
          <w:sz w:val="26"/>
          <w:szCs w:val="26"/>
        </w:rPr>
      </w:pPr>
      <w:r w:rsidRPr="00884454">
        <w:rPr>
          <w:rFonts w:eastAsia="標楷體"/>
          <w:sz w:val="26"/>
          <w:szCs w:val="26"/>
        </w:rPr>
        <w:t>學校之課程設置及活動設計，應鼓勵學生發揮潛能，不得因性別而有差別待遇。</w:t>
      </w:r>
    </w:p>
    <w:p w:rsidR="00884454" w:rsidRDefault="00CB39B1" w:rsidP="00CB39B1">
      <w:pPr>
        <w:pStyle w:val="a9"/>
        <w:numPr>
          <w:ilvl w:val="0"/>
          <w:numId w:val="4"/>
        </w:numPr>
        <w:spacing w:line="400" w:lineRule="exact"/>
        <w:ind w:leftChars="0" w:left="1276" w:hanging="283"/>
        <w:jc w:val="both"/>
        <w:rPr>
          <w:rFonts w:eastAsia="標楷體"/>
          <w:sz w:val="26"/>
          <w:szCs w:val="26"/>
        </w:rPr>
      </w:pPr>
      <w:r w:rsidRPr="00884454">
        <w:rPr>
          <w:rFonts w:eastAsia="標楷體"/>
          <w:sz w:val="26"/>
          <w:szCs w:val="26"/>
        </w:rPr>
        <w:t>通識教育中心、師資培育中心及各系廣開專業與性別平等教育議題之相關課程。</w:t>
      </w:r>
    </w:p>
    <w:p w:rsidR="00CB39B1" w:rsidRPr="00884454" w:rsidRDefault="00CB39B1" w:rsidP="00CB39B1">
      <w:pPr>
        <w:pStyle w:val="a9"/>
        <w:numPr>
          <w:ilvl w:val="0"/>
          <w:numId w:val="4"/>
        </w:numPr>
        <w:spacing w:line="400" w:lineRule="exact"/>
        <w:ind w:leftChars="0" w:left="1276" w:hanging="283"/>
        <w:jc w:val="both"/>
        <w:rPr>
          <w:rFonts w:eastAsia="標楷體"/>
          <w:sz w:val="26"/>
          <w:szCs w:val="26"/>
        </w:rPr>
      </w:pPr>
      <w:r w:rsidRPr="00884454">
        <w:rPr>
          <w:rFonts w:eastAsia="標楷體"/>
          <w:sz w:val="26"/>
          <w:szCs w:val="26"/>
        </w:rPr>
        <w:t>教師應鼓勵學生修習非傳統性別之學科領域。</w:t>
      </w:r>
    </w:p>
    <w:p w:rsidR="00CB39B1" w:rsidRPr="00884454" w:rsidRDefault="00CB39B1" w:rsidP="00CB39B1">
      <w:pPr>
        <w:spacing w:line="400" w:lineRule="exact"/>
        <w:jc w:val="both"/>
        <w:rPr>
          <w:rFonts w:eastAsia="標楷體"/>
          <w:sz w:val="26"/>
          <w:szCs w:val="26"/>
        </w:rPr>
      </w:pPr>
      <w:r w:rsidRPr="00884454">
        <w:rPr>
          <w:rFonts w:eastAsia="標楷體"/>
          <w:sz w:val="26"/>
          <w:szCs w:val="26"/>
        </w:rPr>
        <w:t xml:space="preserve">    (</w:t>
      </w:r>
      <w:r w:rsidRPr="00884454">
        <w:rPr>
          <w:rFonts w:eastAsia="標楷體"/>
          <w:sz w:val="26"/>
          <w:szCs w:val="26"/>
        </w:rPr>
        <w:t>二</w:t>
      </w:r>
      <w:r w:rsidRPr="00884454">
        <w:rPr>
          <w:rFonts w:eastAsia="標楷體"/>
          <w:sz w:val="26"/>
          <w:szCs w:val="26"/>
        </w:rPr>
        <w:t>)</w:t>
      </w:r>
      <w:r w:rsidRPr="00884454">
        <w:rPr>
          <w:rFonts w:eastAsia="標楷體"/>
          <w:sz w:val="26"/>
          <w:szCs w:val="26"/>
        </w:rPr>
        <w:t>課程設計、教學與評量：</w:t>
      </w:r>
    </w:p>
    <w:p w:rsid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教師不得因學生之性別、性別特質、性別認同或性傾向而給予教學、活動、評量、獎懲、福利及服務上之差別待遇。</w:t>
      </w:r>
    </w:p>
    <w:p w:rsid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教師應針對因為性別、性別特質、性別認同</w:t>
      </w:r>
      <w:r w:rsidR="00884454">
        <w:rPr>
          <w:rFonts w:eastAsia="標楷體"/>
          <w:sz w:val="26"/>
          <w:szCs w:val="26"/>
        </w:rPr>
        <w:t>或性傾向而處於不利學習環境之學生提供積極協助，改善其學習環境。</w:t>
      </w:r>
    </w:p>
    <w:p w:rsid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教師應積極維護懷孕學生之受教權，並提供必要之協助。</w:t>
      </w:r>
    </w:p>
    <w:p w:rsid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課程規劃、教材編寫及選用，應符合性別平等教育原則。</w:t>
      </w:r>
    </w:p>
    <w:p w:rsid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教材內容應平衡反映不同性別之歷史貢獻及生活經驗，並呈現多元之性別觀點。</w:t>
      </w:r>
    </w:p>
    <w:p w:rsidR="00CB39B1" w:rsidRPr="00884454" w:rsidRDefault="00CB39B1" w:rsidP="00884454">
      <w:pPr>
        <w:pStyle w:val="a9"/>
        <w:numPr>
          <w:ilvl w:val="0"/>
          <w:numId w:val="6"/>
        </w:numPr>
        <w:spacing w:line="400" w:lineRule="exact"/>
        <w:ind w:leftChars="0" w:left="1276" w:hanging="268"/>
        <w:jc w:val="both"/>
        <w:rPr>
          <w:rFonts w:eastAsia="標楷體"/>
          <w:sz w:val="26"/>
          <w:szCs w:val="26"/>
        </w:rPr>
      </w:pPr>
      <w:r w:rsidRPr="00884454">
        <w:rPr>
          <w:rFonts w:eastAsia="標楷體"/>
          <w:sz w:val="26"/>
          <w:szCs w:val="26"/>
        </w:rPr>
        <w:t>教師使用教材及從事教育活動時，應具備性別平等意識，破除性別刻板印象，避免性別偏見及性別歧視。</w:t>
      </w:r>
    </w:p>
    <w:p w:rsidR="00CB39B1" w:rsidRPr="00884454" w:rsidRDefault="00CB39B1" w:rsidP="00CB39B1">
      <w:pPr>
        <w:tabs>
          <w:tab w:val="left" w:pos="567"/>
        </w:tabs>
        <w:autoSpaceDE w:val="0"/>
        <w:autoSpaceDN w:val="0"/>
        <w:adjustRightInd w:val="0"/>
        <w:snapToGrid w:val="0"/>
        <w:spacing w:line="400" w:lineRule="exact"/>
        <w:ind w:left="920" w:hangingChars="354" w:hanging="920"/>
        <w:rPr>
          <w:rFonts w:eastAsia="標楷體"/>
          <w:sz w:val="26"/>
          <w:szCs w:val="26"/>
        </w:rPr>
      </w:pPr>
      <w:r w:rsidRPr="00884454">
        <w:rPr>
          <w:rFonts w:eastAsia="標楷體"/>
          <w:sz w:val="26"/>
          <w:szCs w:val="26"/>
        </w:rPr>
        <w:t xml:space="preserve">    (</w:t>
      </w:r>
      <w:r w:rsidRPr="00884454">
        <w:rPr>
          <w:rFonts w:eastAsia="標楷體"/>
          <w:sz w:val="26"/>
          <w:szCs w:val="26"/>
        </w:rPr>
        <w:t>三</w:t>
      </w:r>
      <w:r w:rsidRPr="00884454">
        <w:rPr>
          <w:rFonts w:eastAsia="標楷體"/>
          <w:sz w:val="26"/>
          <w:szCs w:val="26"/>
        </w:rPr>
        <w:t>)</w:t>
      </w:r>
      <w:r w:rsidRPr="00884454">
        <w:rPr>
          <w:rFonts w:eastAsia="標楷體"/>
          <w:sz w:val="26"/>
          <w:szCs w:val="26"/>
        </w:rPr>
        <w:t>教職員工性別平等教育：教職員工之職前教育、新進人員培訓、在職進修及教育行政主管人員之儲訓課程，應納入性別平等教育之內容。</w:t>
      </w:r>
    </w:p>
    <w:p w:rsidR="00CB39B1" w:rsidRPr="00884454" w:rsidRDefault="00CB39B1" w:rsidP="00CB39B1">
      <w:pPr>
        <w:autoSpaceDE w:val="0"/>
        <w:autoSpaceDN w:val="0"/>
        <w:adjustRightInd w:val="0"/>
        <w:snapToGrid w:val="0"/>
        <w:spacing w:line="400" w:lineRule="exact"/>
        <w:rPr>
          <w:rFonts w:eastAsia="標楷體"/>
          <w:sz w:val="26"/>
          <w:szCs w:val="26"/>
        </w:rPr>
      </w:pPr>
      <w:r w:rsidRPr="00884454">
        <w:rPr>
          <w:rFonts w:eastAsia="標楷體"/>
          <w:sz w:val="26"/>
          <w:szCs w:val="26"/>
        </w:rPr>
        <w:t>三、性別平等教育實施步驟</w:t>
      </w:r>
    </w:p>
    <w:p w:rsidR="00CB39B1" w:rsidRPr="00884454" w:rsidRDefault="00CB39B1" w:rsidP="00CB39B1">
      <w:pPr>
        <w:spacing w:line="400" w:lineRule="exact"/>
        <w:ind w:firstLineChars="200" w:firstLine="520"/>
        <w:jc w:val="both"/>
        <w:rPr>
          <w:rFonts w:eastAsia="標楷體"/>
          <w:sz w:val="26"/>
          <w:szCs w:val="26"/>
        </w:rPr>
      </w:pPr>
      <w:r w:rsidRPr="00884454">
        <w:rPr>
          <w:rFonts w:eastAsia="標楷體"/>
          <w:sz w:val="26"/>
          <w:szCs w:val="26"/>
        </w:rPr>
        <w:t>(</w:t>
      </w:r>
      <w:proofErr w:type="gramStart"/>
      <w:r w:rsidRPr="00884454">
        <w:rPr>
          <w:rFonts w:eastAsia="標楷體"/>
          <w:sz w:val="26"/>
          <w:szCs w:val="26"/>
        </w:rPr>
        <w:t>一</w:t>
      </w:r>
      <w:proofErr w:type="gramEnd"/>
      <w:r w:rsidRPr="00884454">
        <w:rPr>
          <w:rFonts w:eastAsia="標楷體"/>
          <w:sz w:val="26"/>
          <w:szCs w:val="26"/>
        </w:rPr>
        <w:t>)</w:t>
      </w:r>
      <w:r w:rsidRPr="00884454">
        <w:rPr>
          <w:rFonts w:eastAsia="標楷體"/>
          <w:sz w:val="26"/>
          <w:szCs w:val="26"/>
        </w:rPr>
        <w:t>計畫：統整學校各單位相關資源，擬定性別平等教育實施計畫。</w:t>
      </w:r>
    </w:p>
    <w:p w:rsidR="00CB39B1" w:rsidRPr="00884454" w:rsidRDefault="00CB39B1" w:rsidP="00CB39B1">
      <w:pPr>
        <w:spacing w:line="400" w:lineRule="exact"/>
        <w:ind w:firstLineChars="200" w:firstLine="520"/>
        <w:jc w:val="both"/>
        <w:rPr>
          <w:rFonts w:eastAsia="標楷體"/>
          <w:sz w:val="26"/>
          <w:szCs w:val="26"/>
        </w:rPr>
      </w:pPr>
      <w:r w:rsidRPr="00884454">
        <w:rPr>
          <w:rFonts w:eastAsia="標楷體"/>
          <w:sz w:val="26"/>
          <w:szCs w:val="26"/>
        </w:rPr>
        <w:t>(</w:t>
      </w:r>
      <w:r w:rsidRPr="00884454">
        <w:rPr>
          <w:rFonts w:eastAsia="標楷體"/>
          <w:sz w:val="26"/>
          <w:szCs w:val="26"/>
        </w:rPr>
        <w:t>二</w:t>
      </w:r>
      <w:r w:rsidRPr="00884454">
        <w:rPr>
          <w:rFonts w:eastAsia="標楷體"/>
          <w:sz w:val="26"/>
          <w:szCs w:val="26"/>
        </w:rPr>
        <w:t>)</w:t>
      </w:r>
      <w:r w:rsidRPr="00884454">
        <w:rPr>
          <w:rFonts w:eastAsia="標楷體"/>
          <w:sz w:val="26"/>
          <w:szCs w:val="26"/>
        </w:rPr>
        <w:t>執行：</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利用學校網路、各項教職員工與學生集會、研習時間等多元管道，公告性別平等教育之相關規定。</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開設性別平等教育相關課程。</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安排教職員工研習進修活動。</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lastRenderedPageBreak/>
        <w:t>聘請性別平等教育學者、專家進行專題演講。</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利用導師時間進行班級輔導。</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開設以性別議題為主的團體諮商，鼓勵學生自由報名參加。</w:t>
      </w:r>
    </w:p>
    <w:p w:rsid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獎勵教師、研究生進行性別教育課程設計、性別平等教育相關議題研究。</w:t>
      </w:r>
    </w:p>
    <w:p w:rsidR="00CB39B1" w:rsidRPr="00884454" w:rsidRDefault="00CB39B1" w:rsidP="00884454">
      <w:pPr>
        <w:pStyle w:val="a5"/>
        <w:numPr>
          <w:ilvl w:val="0"/>
          <w:numId w:val="2"/>
        </w:numPr>
        <w:tabs>
          <w:tab w:val="left" w:pos="1276"/>
        </w:tabs>
        <w:ind w:left="1276" w:hanging="283"/>
        <w:rPr>
          <w:rFonts w:ascii="Times New Roman" w:eastAsia="標楷體" w:hAnsi="Times New Roman"/>
          <w:sz w:val="26"/>
          <w:szCs w:val="26"/>
          <w:lang w:val="en-US" w:eastAsia="zh-TW"/>
        </w:rPr>
      </w:pPr>
      <w:r w:rsidRPr="00884454">
        <w:rPr>
          <w:rFonts w:ascii="Times New Roman" w:eastAsia="標楷體" w:hAnsi="Times New Roman"/>
          <w:sz w:val="26"/>
          <w:szCs w:val="26"/>
          <w:lang w:val="en-US" w:eastAsia="zh-TW"/>
        </w:rPr>
        <w:t>蒐集及編印性別平等教育輔導資料與相關法令，供全校教職員工及學生參考。</w:t>
      </w:r>
    </w:p>
    <w:p w:rsidR="00CB39B1" w:rsidRPr="00884454" w:rsidRDefault="00CB39B1" w:rsidP="00CB39B1">
      <w:pPr>
        <w:spacing w:line="400" w:lineRule="exact"/>
        <w:ind w:firstLineChars="200" w:firstLine="520"/>
        <w:jc w:val="both"/>
        <w:rPr>
          <w:rFonts w:eastAsia="標楷體"/>
          <w:sz w:val="26"/>
          <w:szCs w:val="26"/>
        </w:rPr>
      </w:pPr>
      <w:r w:rsidRPr="00884454">
        <w:rPr>
          <w:rFonts w:eastAsia="標楷體"/>
          <w:sz w:val="26"/>
          <w:szCs w:val="26"/>
        </w:rPr>
        <w:t>(</w:t>
      </w:r>
      <w:r w:rsidRPr="00884454">
        <w:rPr>
          <w:rFonts w:eastAsia="標楷體"/>
          <w:sz w:val="26"/>
          <w:szCs w:val="26"/>
        </w:rPr>
        <w:t>三</w:t>
      </w:r>
      <w:r w:rsidRPr="00884454">
        <w:rPr>
          <w:rFonts w:eastAsia="標楷體"/>
          <w:sz w:val="26"/>
          <w:szCs w:val="26"/>
        </w:rPr>
        <w:t>)</w:t>
      </w:r>
      <w:r w:rsidRPr="00884454">
        <w:rPr>
          <w:rFonts w:eastAsia="標楷體"/>
          <w:sz w:val="26"/>
          <w:szCs w:val="26"/>
        </w:rPr>
        <w:t>評鑑：每學年</w:t>
      </w:r>
      <w:r w:rsidRPr="00884454">
        <w:rPr>
          <w:rFonts w:eastAsia="標楷體"/>
          <w:sz w:val="26"/>
          <w:szCs w:val="26"/>
        </w:rPr>
        <w:t>(</w:t>
      </w:r>
      <w:r w:rsidRPr="00884454">
        <w:rPr>
          <w:rFonts w:eastAsia="標楷體"/>
          <w:sz w:val="26"/>
          <w:szCs w:val="26"/>
        </w:rPr>
        <w:t>度</w:t>
      </w:r>
      <w:r w:rsidRPr="00884454">
        <w:rPr>
          <w:rFonts w:eastAsia="標楷體"/>
          <w:sz w:val="26"/>
          <w:szCs w:val="26"/>
        </w:rPr>
        <w:t>)</w:t>
      </w:r>
      <w:r w:rsidRPr="00884454">
        <w:rPr>
          <w:rFonts w:eastAsia="標楷體"/>
          <w:sz w:val="26"/>
          <w:szCs w:val="26"/>
        </w:rPr>
        <w:t>檢視實施成果，以落實性別平等教育之目標。</w:t>
      </w:r>
    </w:p>
    <w:p w:rsidR="00884454" w:rsidRDefault="00CB39B1" w:rsidP="00884454">
      <w:pPr>
        <w:pStyle w:val="a9"/>
        <w:numPr>
          <w:ilvl w:val="0"/>
          <w:numId w:val="8"/>
        </w:numPr>
        <w:spacing w:line="400" w:lineRule="exact"/>
        <w:ind w:leftChars="0" w:left="567" w:hanging="567"/>
        <w:jc w:val="both"/>
        <w:rPr>
          <w:rFonts w:eastAsia="標楷體"/>
          <w:sz w:val="26"/>
          <w:szCs w:val="26"/>
        </w:rPr>
      </w:pPr>
      <w:r w:rsidRPr="00884454">
        <w:rPr>
          <w:rFonts w:eastAsia="標楷體"/>
          <w:sz w:val="26"/>
          <w:szCs w:val="26"/>
        </w:rPr>
        <w:t>本校性別平等教育委員會應編列經費執行各項性別平等教育實施內容，並視執行成效給予獎勵。</w:t>
      </w:r>
    </w:p>
    <w:p w:rsidR="00884454" w:rsidRDefault="00CB39B1" w:rsidP="00884454">
      <w:pPr>
        <w:pStyle w:val="a9"/>
        <w:numPr>
          <w:ilvl w:val="0"/>
          <w:numId w:val="8"/>
        </w:numPr>
        <w:spacing w:line="400" w:lineRule="exact"/>
        <w:ind w:leftChars="0" w:left="567" w:hanging="567"/>
        <w:jc w:val="both"/>
        <w:rPr>
          <w:rFonts w:eastAsia="標楷體"/>
          <w:sz w:val="26"/>
          <w:szCs w:val="26"/>
        </w:rPr>
      </w:pPr>
      <w:r w:rsidRPr="00884454">
        <w:rPr>
          <w:rFonts w:eastAsia="標楷體"/>
          <w:sz w:val="26"/>
          <w:szCs w:val="26"/>
        </w:rPr>
        <w:t>本校負責性別平等教育相關單位之人員，應給予公差假及經費補助，以利積極參加校內外性別平等教育研習活動。</w:t>
      </w:r>
    </w:p>
    <w:p w:rsidR="00A01D34" w:rsidRPr="00884454" w:rsidRDefault="00CB39B1" w:rsidP="00884454">
      <w:pPr>
        <w:pStyle w:val="a9"/>
        <w:numPr>
          <w:ilvl w:val="0"/>
          <w:numId w:val="8"/>
        </w:numPr>
        <w:spacing w:line="400" w:lineRule="exact"/>
        <w:ind w:leftChars="0" w:left="567" w:hanging="567"/>
        <w:jc w:val="both"/>
        <w:rPr>
          <w:rFonts w:eastAsia="標楷體" w:hint="eastAsia"/>
          <w:sz w:val="26"/>
          <w:szCs w:val="26"/>
        </w:rPr>
      </w:pPr>
      <w:r w:rsidRPr="00884454">
        <w:rPr>
          <w:rFonts w:eastAsia="標楷體"/>
          <w:sz w:val="26"/>
          <w:szCs w:val="26"/>
        </w:rPr>
        <w:t>本規定經性別平等教育委員會通過，陳請校長核定後公布施行，修正時亦同。</w:t>
      </w:r>
      <w:bookmarkStart w:id="0" w:name="_GoBack"/>
      <w:bookmarkEnd w:id="0"/>
    </w:p>
    <w:sectPr w:rsidR="00A01D34" w:rsidRPr="00884454" w:rsidSect="00CB39B1">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63" w:rsidRDefault="001E0A63">
      <w:r>
        <w:separator/>
      </w:r>
    </w:p>
  </w:endnote>
  <w:endnote w:type="continuationSeparator" w:id="0">
    <w:p w:rsidR="001E0A63" w:rsidRDefault="001E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61484"/>
      <w:docPartObj>
        <w:docPartGallery w:val="Page Numbers (Bottom of Page)"/>
        <w:docPartUnique/>
      </w:docPartObj>
    </w:sdtPr>
    <w:sdtEndPr/>
    <w:sdtContent>
      <w:p w:rsidR="0078206A" w:rsidRDefault="00CB39B1" w:rsidP="001A04DD">
        <w:pPr>
          <w:pStyle w:val="a3"/>
          <w:jc w:val="center"/>
        </w:pPr>
        <w:r>
          <w:fldChar w:fldCharType="begin"/>
        </w:r>
        <w:r>
          <w:instrText>PAGE   \* MERGEFORMAT</w:instrText>
        </w:r>
        <w:r>
          <w:fldChar w:fldCharType="separate"/>
        </w:r>
        <w:r w:rsidR="00884454" w:rsidRPr="00884454">
          <w:rPr>
            <w:noProof/>
            <w:lang w:val="zh-TW"/>
          </w:rPr>
          <w:t>2</w:t>
        </w:r>
        <w:r>
          <w:fldChar w:fldCharType="end"/>
        </w:r>
      </w:p>
    </w:sdtContent>
  </w:sdt>
  <w:p w:rsidR="0078206A" w:rsidRDefault="001E0A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63" w:rsidRDefault="001E0A63">
      <w:r>
        <w:separator/>
      </w:r>
    </w:p>
  </w:footnote>
  <w:footnote w:type="continuationSeparator" w:id="0">
    <w:p w:rsidR="001E0A63" w:rsidRDefault="001E0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41CB"/>
    <w:multiLevelType w:val="hybridMultilevel"/>
    <w:tmpl w:val="9D9C0D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846568"/>
    <w:multiLevelType w:val="hybridMultilevel"/>
    <w:tmpl w:val="0E24BD88"/>
    <w:lvl w:ilvl="0" w:tplc="992EF002">
      <w:start w:val="1"/>
      <w:numFmt w:val="decimal"/>
      <w:lvlText w:val="%1."/>
      <w:lvlJc w:val="left"/>
      <w:pPr>
        <w:ind w:left="2400"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2" w15:restartNumberingAfterBreak="0">
    <w:nsid w:val="43792ED1"/>
    <w:multiLevelType w:val="hybridMultilevel"/>
    <w:tmpl w:val="AFD8A58C"/>
    <w:lvl w:ilvl="0" w:tplc="907C8A8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4C420C3"/>
    <w:multiLevelType w:val="hybridMultilevel"/>
    <w:tmpl w:val="1C74E94E"/>
    <w:lvl w:ilvl="0" w:tplc="992EF002">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4" w15:restartNumberingAfterBreak="0">
    <w:nsid w:val="5B9366F9"/>
    <w:multiLevelType w:val="hybridMultilevel"/>
    <w:tmpl w:val="8C4E28AE"/>
    <w:lvl w:ilvl="0" w:tplc="DD6C0A62">
      <w:start w:val="1"/>
      <w:numFmt w:val="decimal"/>
      <w:lvlText w:val="%1."/>
      <w:lvlJc w:val="left"/>
      <w:pPr>
        <w:ind w:left="1368" w:hanging="360"/>
      </w:pPr>
      <w:rPr>
        <w:rFonts w:hint="default"/>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5" w15:restartNumberingAfterBreak="0">
    <w:nsid w:val="612923BE"/>
    <w:multiLevelType w:val="hybridMultilevel"/>
    <w:tmpl w:val="CB90F8B4"/>
    <w:lvl w:ilvl="0" w:tplc="E58E307E">
      <w:start w:val="4"/>
      <w:numFmt w:val="taiwaneseCountingThousand"/>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3811A2"/>
    <w:multiLevelType w:val="hybridMultilevel"/>
    <w:tmpl w:val="4EAA66A4"/>
    <w:lvl w:ilvl="0" w:tplc="CD1E8BD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79A207A5"/>
    <w:multiLevelType w:val="hybridMultilevel"/>
    <w:tmpl w:val="E47ACB10"/>
    <w:lvl w:ilvl="0" w:tplc="0409000F">
      <w:start w:val="1"/>
      <w:numFmt w:val="decimal"/>
      <w:lvlText w:val="%1."/>
      <w:lvlJc w:val="left"/>
      <w:pPr>
        <w:ind w:left="1524" w:hanging="480"/>
      </w:p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num w:numId="1">
    <w:abstractNumId w:val="2"/>
  </w:num>
  <w:num w:numId="2">
    <w:abstractNumId w:val="6"/>
  </w:num>
  <w:num w:numId="3">
    <w:abstractNumId w:val="7"/>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B1"/>
    <w:rsid w:val="001E0A63"/>
    <w:rsid w:val="0050226B"/>
    <w:rsid w:val="00884454"/>
    <w:rsid w:val="00A01D34"/>
    <w:rsid w:val="00AE0AEA"/>
    <w:rsid w:val="00BC4E79"/>
    <w:rsid w:val="00CB3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482A78-EDBC-4EDE-A446-7B8CAF3C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9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B39B1"/>
    <w:pPr>
      <w:tabs>
        <w:tab w:val="center" w:pos="4153"/>
        <w:tab w:val="right" w:pos="8306"/>
      </w:tabs>
      <w:snapToGrid w:val="0"/>
    </w:pPr>
    <w:rPr>
      <w:sz w:val="20"/>
      <w:szCs w:val="20"/>
    </w:rPr>
  </w:style>
  <w:style w:type="character" w:customStyle="1" w:styleId="a4">
    <w:name w:val="頁尾 字元"/>
    <w:basedOn w:val="a0"/>
    <w:link w:val="a3"/>
    <w:uiPriority w:val="99"/>
    <w:rsid w:val="00CB39B1"/>
    <w:rPr>
      <w:rFonts w:ascii="Times New Roman" w:eastAsia="新細明體" w:hAnsi="Times New Roman" w:cs="Times New Roman"/>
      <w:sz w:val="20"/>
      <w:szCs w:val="20"/>
    </w:rPr>
  </w:style>
  <w:style w:type="paragraph" w:styleId="a5">
    <w:name w:val="annotation text"/>
    <w:basedOn w:val="a"/>
    <w:link w:val="a6"/>
    <w:uiPriority w:val="99"/>
    <w:unhideWhenUsed/>
    <w:rsid w:val="00CB39B1"/>
    <w:rPr>
      <w:rFonts w:ascii="Calibri" w:hAnsi="Calibri"/>
      <w:szCs w:val="22"/>
      <w:lang w:val="x-none" w:eastAsia="x-none"/>
    </w:rPr>
  </w:style>
  <w:style w:type="character" w:customStyle="1" w:styleId="a6">
    <w:name w:val="註解文字 字元"/>
    <w:basedOn w:val="a0"/>
    <w:link w:val="a5"/>
    <w:uiPriority w:val="99"/>
    <w:rsid w:val="00CB39B1"/>
    <w:rPr>
      <w:rFonts w:ascii="Calibri" w:eastAsia="新細明體" w:hAnsi="Calibri" w:cs="Times New Roman"/>
      <w:lang w:val="x-none" w:eastAsia="x-none"/>
    </w:rPr>
  </w:style>
  <w:style w:type="paragraph" w:styleId="a7">
    <w:name w:val="header"/>
    <w:basedOn w:val="a"/>
    <w:link w:val="a8"/>
    <w:uiPriority w:val="99"/>
    <w:unhideWhenUsed/>
    <w:rsid w:val="00AE0AEA"/>
    <w:pPr>
      <w:tabs>
        <w:tab w:val="center" w:pos="4153"/>
        <w:tab w:val="right" w:pos="8306"/>
      </w:tabs>
      <w:snapToGrid w:val="0"/>
    </w:pPr>
    <w:rPr>
      <w:sz w:val="20"/>
      <w:szCs w:val="20"/>
    </w:rPr>
  </w:style>
  <w:style w:type="character" w:customStyle="1" w:styleId="a8">
    <w:name w:val="頁首 字元"/>
    <w:basedOn w:val="a0"/>
    <w:link w:val="a7"/>
    <w:uiPriority w:val="99"/>
    <w:rsid w:val="00AE0AEA"/>
    <w:rPr>
      <w:rFonts w:ascii="Times New Roman" w:eastAsia="新細明體" w:hAnsi="Times New Roman" w:cs="Times New Roman"/>
      <w:sz w:val="20"/>
      <w:szCs w:val="20"/>
    </w:rPr>
  </w:style>
  <w:style w:type="paragraph" w:styleId="a9">
    <w:name w:val="List Paragraph"/>
    <w:basedOn w:val="a"/>
    <w:uiPriority w:val="34"/>
    <w:qFormat/>
    <w:rsid w:val="008844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2017-11-06T01:47:00Z</dcterms:created>
  <dcterms:modified xsi:type="dcterms:W3CDTF">2017-11-06T05:41:00Z</dcterms:modified>
</cp:coreProperties>
</file>