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6AA" w:rsidRDefault="007476AA" w:rsidP="007476AA">
      <w:pPr>
        <w:spacing w:line="600" w:lineRule="exact"/>
        <w:jc w:val="center"/>
        <w:rPr>
          <w:rFonts w:eastAsia="標楷體"/>
          <w:b/>
          <w:sz w:val="32"/>
          <w:szCs w:val="32"/>
        </w:rPr>
      </w:pPr>
      <w:r>
        <w:rPr>
          <w:rFonts w:eastAsia="標楷體"/>
          <w:b/>
          <w:sz w:val="32"/>
          <w:szCs w:val="32"/>
        </w:rPr>
        <w:t>99</w:t>
      </w:r>
      <w:proofErr w:type="gramStart"/>
      <w:r>
        <w:rPr>
          <w:rFonts w:eastAsia="標楷體" w:hint="eastAsia"/>
          <w:b/>
          <w:sz w:val="32"/>
          <w:szCs w:val="32"/>
        </w:rPr>
        <w:t>學年度南台</w:t>
      </w:r>
      <w:proofErr w:type="gramEnd"/>
      <w:r>
        <w:rPr>
          <w:rFonts w:eastAsia="標楷體" w:hint="eastAsia"/>
          <w:b/>
          <w:sz w:val="32"/>
          <w:szCs w:val="32"/>
        </w:rPr>
        <w:t>科技大學技職再造</w:t>
      </w:r>
    </w:p>
    <w:p w:rsidR="007476AA" w:rsidRDefault="007476AA" w:rsidP="007476AA">
      <w:pPr>
        <w:jc w:val="center"/>
      </w:pPr>
      <w:r>
        <w:rPr>
          <w:rFonts w:eastAsia="標楷體" w:hint="eastAsia"/>
          <w:b/>
          <w:sz w:val="32"/>
          <w:szCs w:val="32"/>
        </w:rPr>
        <w:t>專題演講</w:t>
      </w:r>
      <w:r>
        <w:rPr>
          <w:rFonts w:eastAsia="標楷體"/>
          <w:b/>
          <w:sz w:val="32"/>
          <w:szCs w:val="32"/>
        </w:rPr>
        <w:t>-</w:t>
      </w:r>
      <w:r>
        <w:rPr>
          <w:rFonts w:eastAsia="標楷體" w:hint="eastAsia"/>
          <w:b/>
          <w:sz w:val="32"/>
          <w:szCs w:val="32"/>
        </w:rPr>
        <w:t>環境生態保護</w:t>
      </w:r>
      <w:r>
        <w:rPr>
          <w:rFonts w:eastAsia="標楷體"/>
          <w:b/>
          <w:sz w:val="32"/>
          <w:szCs w:val="32"/>
        </w:rPr>
        <w:t xml:space="preserve">   </w:t>
      </w:r>
      <w:r>
        <w:rPr>
          <w:rFonts w:eastAsia="標楷體" w:hint="eastAsia"/>
          <w:b/>
          <w:sz w:val="32"/>
          <w:szCs w:val="32"/>
        </w:rPr>
        <w:t>心得感想與建議</w:t>
      </w:r>
    </w:p>
    <w:tbl>
      <w:tblPr>
        <w:tblW w:w="898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
        <w:gridCol w:w="4139"/>
        <w:gridCol w:w="236"/>
        <w:gridCol w:w="4371"/>
      </w:tblGrid>
      <w:tr w:rsidR="007476AA" w:rsidTr="007476AA">
        <w:trPr>
          <w:trHeight w:val="651"/>
        </w:trPr>
        <w:tc>
          <w:tcPr>
            <w:tcW w:w="8985" w:type="dxa"/>
            <w:gridSpan w:val="4"/>
            <w:tcBorders>
              <w:top w:val="double" w:sz="4" w:space="0" w:color="auto"/>
              <w:left w:val="double" w:sz="4" w:space="0" w:color="auto"/>
              <w:bottom w:val="double" w:sz="4" w:space="0" w:color="auto"/>
              <w:right w:val="double" w:sz="4" w:space="0" w:color="auto"/>
            </w:tcBorders>
            <w:hideMark/>
          </w:tcPr>
          <w:p w:rsidR="007476AA" w:rsidRDefault="007476AA">
            <w:pPr>
              <w:spacing w:line="440" w:lineRule="exact"/>
              <w:ind w:firstLineChars="180" w:firstLine="432"/>
              <w:jc w:val="both"/>
              <w:rPr>
                <w:rFonts w:eastAsia="標楷體"/>
              </w:rPr>
            </w:pPr>
            <w:r>
              <w:rPr>
                <w:rFonts w:eastAsia="標楷體" w:hAnsi="標楷體" w:hint="eastAsia"/>
              </w:rPr>
              <w:t>為能瞭解業界專家協同教學對您學習上的幫助情形，希望您提供寶貴的見以玆作為我們持續推動業界專家協同教學改進參考，並感謝您的熱心參與。</w:t>
            </w:r>
          </w:p>
          <w:p w:rsidR="007476AA" w:rsidRDefault="007476AA">
            <w:pPr>
              <w:ind w:firstLineChars="650" w:firstLine="1560"/>
              <w:jc w:val="both"/>
            </w:pPr>
            <w:r>
              <w:rPr>
                <w:rFonts w:eastAsia="標楷體"/>
              </w:rPr>
              <w:t xml:space="preserve">                                           </w:t>
            </w:r>
            <w:r>
              <w:rPr>
                <w:rFonts w:eastAsia="標楷體" w:hAnsi="標楷體" w:hint="eastAsia"/>
              </w:rPr>
              <w:t>教學發展中心</w:t>
            </w:r>
            <w:r>
              <w:rPr>
                <w:rFonts w:eastAsia="標楷體"/>
              </w:rPr>
              <w:t xml:space="preserve"> </w:t>
            </w:r>
            <w:r>
              <w:rPr>
                <w:rFonts w:eastAsia="標楷體" w:hAnsi="標楷體" w:hint="eastAsia"/>
              </w:rPr>
              <w:t>敬上</w:t>
            </w:r>
          </w:p>
        </w:tc>
      </w:tr>
      <w:tr w:rsidR="007476AA" w:rsidTr="007476AA">
        <w:trPr>
          <w:trHeight w:val="225"/>
        </w:trPr>
        <w:tc>
          <w:tcPr>
            <w:tcW w:w="8985" w:type="dxa"/>
            <w:gridSpan w:val="4"/>
            <w:tcBorders>
              <w:top w:val="double" w:sz="4" w:space="0" w:color="auto"/>
              <w:left w:val="nil"/>
              <w:bottom w:val="thinThickSmallGap" w:sz="24" w:space="0" w:color="auto"/>
              <w:right w:val="nil"/>
            </w:tcBorders>
          </w:tcPr>
          <w:p w:rsidR="007476AA" w:rsidRDefault="007476AA"/>
        </w:tc>
      </w:tr>
      <w:tr w:rsidR="007476AA" w:rsidTr="007476AA">
        <w:trPr>
          <w:trHeight w:hRule="exact" w:val="520"/>
        </w:trPr>
        <w:tc>
          <w:tcPr>
            <w:tcW w:w="239" w:type="dxa"/>
            <w:tcBorders>
              <w:top w:val="thinThickSmallGap" w:sz="24" w:space="0" w:color="auto"/>
              <w:left w:val="thinThickSmallGap" w:sz="24" w:space="0" w:color="auto"/>
              <w:bottom w:val="nil"/>
              <w:right w:val="nil"/>
            </w:tcBorders>
            <w:vAlign w:val="center"/>
          </w:tcPr>
          <w:p w:rsidR="007476AA" w:rsidRDefault="007476AA">
            <w:pPr>
              <w:jc w:val="both"/>
            </w:pPr>
          </w:p>
        </w:tc>
        <w:tc>
          <w:tcPr>
            <w:tcW w:w="4139" w:type="dxa"/>
            <w:tcBorders>
              <w:top w:val="thinThickSmallGap" w:sz="24" w:space="0" w:color="auto"/>
              <w:left w:val="nil"/>
              <w:bottom w:val="single" w:sz="4" w:space="0" w:color="auto"/>
              <w:right w:val="nil"/>
            </w:tcBorders>
            <w:vAlign w:val="center"/>
            <w:hideMark/>
          </w:tcPr>
          <w:p w:rsidR="007476AA" w:rsidRDefault="007476AA">
            <w:pPr>
              <w:jc w:val="both"/>
            </w:pPr>
            <w:r>
              <w:rPr>
                <w:rFonts w:eastAsia="標楷體" w:hAnsi="標楷體" w:hint="eastAsia"/>
                <w:b/>
              </w:rPr>
              <w:t>課程名稱</w:t>
            </w:r>
            <w:proofErr w:type="gramStart"/>
            <w:r>
              <w:rPr>
                <w:rFonts w:eastAsia="標楷體" w:hAnsi="標楷體" w:hint="eastAsia"/>
                <w:b/>
              </w:rPr>
              <w:t>︰</w:t>
            </w:r>
            <w:proofErr w:type="gramEnd"/>
            <w:r>
              <w:rPr>
                <w:rFonts w:ascii="Arial" w:hAnsi="Arial" w:cs="Arial"/>
                <w:b/>
                <w:color w:val="000000"/>
                <w:sz w:val="16"/>
                <w:szCs w:val="16"/>
              </w:rPr>
              <w:fldChar w:fldCharType="begin"/>
            </w:r>
            <w:r>
              <w:rPr>
                <w:rFonts w:ascii="Arial" w:hAnsi="Arial" w:cs="Arial"/>
                <w:b/>
                <w:color w:val="000000"/>
                <w:sz w:val="16"/>
                <w:szCs w:val="16"/>
              </w:rPr>
              <w:instrText xml:space="preserve"> HYPERLINK "http://my.stut.edu.tw/course/15253" </w:instrText>
            </w:r>
            <w:r>
              <w:rPr>
                <w:rFonts w:ascii="Arial" w:hAnsi="Arial" w:cs="Arial"/>
                <w:b/>
                <w:color w:val="000000"/>
                <w:sz w:val="16"/>
                <w:szCs w:val="16"/>
              </w:rPr>
              <w:fldChar w:fldCharType="separate"/>
            </w:r>
            <w:r>
              <w:rPr>
                <w:rStyle w:val="a3"/>
                <w:rFonts w:ascii="Arial" w:hAnsi="Arial" w:cs="Arial" w:hint="eastAsia"/>
                <w:b/>
                <w:color w:val="000000"/>
                <w:sz w:val="16"/>
                <w:szCs w:val="16"/>
              </w:rPr>
              <w:t>當代西方思潮</w:t>
            </w:r>
            <w:r>
              <w:rPr>
                <w:rStyle w:val="a3"/>
                <w:rFonts w:ascii="Arial" w:hAnsi="Arial" w:cs="Arial"/>
                <w:b/>
                <w:color w:val="000000"/>
                <w:sz w:val="16"/>
                <w:szCs w:val="16"/>
              </w:rPr>
              <w:t>-</w:t>
            </w:r>
            <w:r>
              <w:rPr>
                <w:rStyle w:val="a3"/>
                <w:rFonts w:ascii="Arial" w:hAnsi="Arial" w:cs="Arial" w:hint="eastAsia"/>
                <w:b/>
                <w:color w:val="000000"/>
                <w:sz w:val="16"/>
                <w:szCs w:val="16"/>
              </w:rPr>
              <w:t>科技</w:t>
            </w:r>
            <w:proofErr w:type="gramStart"/>
            <w:r>
              <w:rPr>
                <w:rStyle w:val="a3"/>
                <w:rFonts w:ascii="細明體" w:eastAsia="細明體" w:hAnsi="細明體" w:cs="細明體" w:hint="eastAsia"/>
                <w:b/>
                <w:color w:val="000000"/>
                <w:sz w:val="16"/>
                <w:szCs w:val="16"/>
              </w:rPr>
              <w:t>‧</w:t>
            </w:r>
            <w:proofErr w:type="gramEnd"/>
            <w:r>
              <w:rPr>
                <w:rStyle w:val="a3"/>
                <w:rFonts w:ascii="Arial" w:hAnsi="Arial" w:cs="Arial" w:hint="eastAsia"/>
                <w:b/>
                <w:color w:val="000000"/>
                <w:sz w:val="16"/>
                <w:szCs w:val="16"/>
              </w:rPr>
              <w:t>倫理與社會</w:t>
            </w:r>
            <w:r>
              <w:rPr>
                <w:rStyle w:val="a3"/>
                <w:rFonts w:ascii="Arial" w:hAnsi="Arial" w:cs="Arial"/>
                <w:b/>
                <w:color w:val="000000"/>
                <w:sz w:val="16"/>
                <w:szCs w:val="16"/>
              </w:rPr>
              <w:t>_</w:t>
            </w:r>
            <w:r>
              <w:rPr>
                <w:rStyle w:val="a3"/>
                <w:rFonts w:ascii="Arial" w:hAnsi="Arial" w:cs="Arial" w:hint="eastAsia"/>
                <w:b/>
                <w:color w:val="000000"/>
                <w:sz w:val="16"/>
                <w:szCs w:val="16"/>
              </w:rPr>
              <w:t>哲學思維類</w:t>
            </w:r>
            <w:r>
              <w:rPr>
                <w:rFonts w:ascii="Arial" w:hAnsi="Arial" w:cs="Arial"/>
                <w:b/>
                <w:color w:val="000000"/>
                <w:sz w:val="16"/>
                <w:szCs w:val="16"/>
              </w:rPr>
              <w:fldChar w:fldCharType="end"/>
            </w:r>
          </w:p>
        </w:tc>
        <w:tc>
          <w:tcPr>
            <w:tcW w:w="236" w:type="dxa"/>
            <w:tcBorders>
              <w:top w:val="thinThickSmallGap" w:sz="24" w:space="0" w:color="auto"/>
              <w:left w:val="nil"/>
              <w:bottom w:val="nil"/>
              <w:right w:val="nil"/>
            </w:tcBorders>
            <w:vAlign w:val="center"/>
          </w:tcPr>
          <w:p w:rsidR="007476AA" w:rsidRDefault="007476AA">
            <w:pPr>
              <w:jc w:val="both"/>
            </w:pPr>
          </w:p>
        </w:tc>
        <w:tc>
          <w:tcPr>
            <w:tcW w:w="4371" w:type="dxa"/>
            <w:tcBorders>
              <w:top w:val="thinThickSmallGap" w:sz="24" w:space="0" w:color="auto"/>
              <w:left w:val="nil"/>
              <w:bottom w:val="single" w:sz="4" w:space="0" w:color="auto"/>
              <w:right w:val="thinThickSmallGap" w:sz="24" w:space="0" w:color="auto"/>
            </w:tcBorders>
            <w:vAlign w:val="center"/>
            <w:hideMark/>
          </w:tcPr>
          <w:p w:rsidR="007476AA" w:rsidRDefault="007476AA">
            <w:pPr>
              <w:jc w:val="both"/>
            </w:pPr>
            <w:r>
              <w:rPr>
                <w:rFonts w:eastAsia="標楷體" w:hAnsi="標楷體" w:hint="eastAsia"/>
                <w:b/>
              </w:rPr>
              <w:t>開課班級</w:t>
            </w:r>
            <w:proofErr w:type="gramStart"/>
            <w:r>
              <w:rPr>
                <w:rFonts w:eastAsia="標楷體" w:hAnsi="標楷體" w:hint="eastAsia"/>
                <w:b/>
              </w:rPr>
              <w:t>︰</w:t>
            </w:r>
            <w:proofErr w:type="gramEnd"/>
            <w:r>
              <w:rPr>
                <w:rFonts w:eastAsia="標楷體" w:hAnsi="標楷體" w:hint="eastAsia"/>
                <w:b/>
              </w:rPr>
              <w:t>資管四甲</w:t>
            </w:r>
          </w:p>
        </w:tc>
      </w:tr>
      <w:tr w:rsidR="007476AA" w:rsidTr="007476AA">
        <w:trPr>
          <w:trHeight w:hRule="exact" w:val="520"/>
        </w:trPr>
        <w:tc>
          <w:tcPr>
            <w:tcW w:w="239" w:type="dxa"/>
            <w:tcBorders>
              <w:top w:val="nil"/>
              <w:left w:val="thinThickSmallGap" w:sz="24" w:space="0" w:color="auto"/>
              <w:bottom w:val="nil"/>
              <w:right w:val="nil"/>
            </w:tcBorders>
            <w:vAlign w:val="center"/>
          </w:tcPr>
          <w:p w:rsidR="007476AA" w:rsidRDefault="007476AA">
            <w:pPr>
              <w:jc w:val="both"/>
            </w:pPr>
          </w:p>
        </w:tc>
        <w:tc>
          <w:tcPr>
            <w:tcW w:w="4139" w:type="dxa"/>
            <w:tcBorders>
              <w:top w:val="single" w:sz="4" w:space="0" w:color="auto"/>
              <w:left w:val="nil"/>
              <w:bottom w:val="single" w:sz="4" w:space="0" w:color="auto"/>
              <w:right w:val="nil"/>
            </w:tcBorders>
            <w:vAlign w:val="center"/>
            <w:hideMark/>
          </w:tcPr>
          <w:p w:rsidR="007476AA" w:rsidRDefault="007476AA">
            <w:pPr>
              <w:jc w:val="both"/>
            </w:pPr>
            <w:r>
              <w:rPr>
                <w:rFonts w:eastAsia="標楷體" w:hAnsi="標楷體" w:hint="eastAsia"/>
                <w:b/>
              </w:rPr>
              <w:t>開課老師</w:t>
            </w:r>
            <w:proofErr w:type="gramStart"/>
            <w:r>
              <w:rPr>
                <w:rFonts w:eastAsia="標楷體" w:hAnsi="標楷體" w:hint="eastAsia"/>
                <w:b/>
              </w:rPr>
              <w:t>︰</w:t>
            </w:r>
            <w:proofErr w:type="gramEnd"/>
            <w:r>
              <w:rPr>
                <w:rFonts w:eastAsia="標楷體" w:hAnsi="標楷體" w:hint="eastAsia"/>
                <w:b/>
              </w:rPr>
              <w:t>楊劍豐</w:t>
            </w:r>
          </w:p>
        </w:tc>
        <w:tc>
          <w:tcPr>
            <w:tcW w:w="236" w:type="dxa"/>
            <w:tcBorders>
              <w:top w:val="nil"/>
              <w:left w:val="nil"/>
              <w:bottom w:val="nil"/>
              <w:right w:val="nil"/>
            </w:tcBorders>
            <w:vAlign w:val="center"/>
          </w:tcPr>
          <w:p w:rsidR="007476AA" w:rsidRDefault="007476AA">
            <w:pPr>
              <w:jc w:val="both"/>
            </w:pPr>
          </w:p>
        </w:tc>
        <w:tc>
          <w:tcPr>
            <w:tcW w:w="4371" w:type="dxa"/>
            <w:tcBorders>
              <w:top w:val="single" w:sz="4" w:space="0" w:color="auto"/>
              <w:left w:val="nil"/>
              <w:bottom w:val="single" w:sz="4" w:space="0" w:color="auto"/>
              <w:right w:val="thinThickSmallGap" w:sz="24" w:space="0" w:color="auto"/>
            </w:tcBorders>
            <w:vAlign w:val="center"/>
            <w:hideMark/>
          </w:tcPr>
          <w:p w:rsidR="007476AA" w:rsidRDefault="007476AA">
            <w:pPr>
              <w:jc w:val="both"/>
            </w:pPr>
            <w:r>
              <w:rPr>
                <w:rFonts w:eastAsia="標楷體" w:hAnsi="標楷體" w:hint="eastAsia"/>
                <w:b/>
              </w:rPr>
              <w:t>填表人</w:t>
            </w:r>
            <w:proofErr w:type="gramStart"/>
            <w:r>
              <w:rPr>
                <w:rFonts w:eastAsia="標楷體" w:hAnsi="標楷體" w:hint="eastAsia"/>
                <w:b/>
              </w:rPr>
              <w:t>︰</w:t>
            </w:r>
            <w:proofErr w:type="gramEnd"/>
            <w:r>
              <w:rPr>
                <w:rFonts w:eastAsia="標楷體" w:hAnsi="標楷體" w:hint="eastAsia"/>
                <w:b/>
              </w:rPr>
              <w:t>黃民佑</w:t>
            </w:r>
          </w:p>
        </w:tc>
      </w:tr>
      <w:tr w:rsidR="007476AA" w:rsidTr="007476AA">
        <w:trPr>
          <w:trHeight w:hRule="exact" w:val="283"/>
        </w:trPr>
        <w:tc>
          <w:tcPr>
            <w:tcW w:w="239" w:type="dxa"/>
            <w:tcBorders>
              <w:top w:val="nil"/>
              <w:left w:val="thinThickSmallGap" w:sz="24" w:space="0" w:color="auto"/>
              <w:bottom w:val="double" w:sz="4" w:space="0" w:color="auto"/>
              <w:right w:val="nil"/>
            </w:tcBorders>
            <w:vAlign w:val="center"/>
          </w:tcPr>
          <w:p w:rsidR="007476AA" w:rsidRDefault="007476AA">
            <w:pPr>
              <w:jc w:val="both"/>
              <w:rPr>
                <w:rFonts w:eastAsia="標楷體"/>
              </w:rPr>
            </w:pPr>
          </w:p>
        </w:tc>
        <w:tc>
          <w:tcPr>
            <w:tcW w:w="4139" w:type="dxa"/>
            <w:tcBorders>
              <w:top w:val="single" w:sz="4" w:space="0" w:color="auto"/>
              <w:left w:val="nil"/>
              <w:bottom w:val="double" w:sz="4" w:space="0" w:color="auto"/>
              <w:right w:val="nil"/>
            </w:tcBorders>
            <w:vAlign w:val="center"/>
          </w:tcPr>
          <w:p w:rsidR="007476AA" w:rsidRDefault="007476AA">
            <w:pPr>
              <w:jc w:val="both"/>
              <w:rPr>
                <w:rFonts w:eastAsia="標楷體"/>
              </w:rPr>
            </w:pPr>
          </w:p>
        </w:tc>
        <w:tc>
          <w:tcPr>
            <w:tcW w:w="236" w:type="dxa"/>
            <w:tcBorders>
              <w:top w:val="nil"/>
              <w:left w:val="nil"/>
              <w:bottom w:val="double" w:sz="4" w:space="0" w:color="auto"/>
              <w:right w:val="nil"/>
            </w:tcBorders>
            <w:vAlign w:val="center"/>
          </w:tcPr>
          <w:p w:rsidR="007476AA" w:rsidRDefault="007476AA">
            <w:pPr>
              <w:jc w:val="both"/>
            </w:pPr>
          </w:p>
        </w:tc>
        <w:tc>
          <w:tcPr>
            <w:tcW w:w="4371" w:type="dxa"/>
            <w:tcBorders>
              <w:top w:val="single" w:sz="4" w:space="0" w:color="auto"/>
              <w:left w:val="nil"/>
              <w:bottom w:val="double" w:sz="4" w:space="0" w:color="auto"/>
              <w:right w:val="thinThickSmallGap" w:sz="24" w:space="0" w:color="auto"/>
            </w:tcBorders>
            <w:vAlign w:val="center"/>
          </w:tcPr>
          <w:p w:rsidR="007476AA" w:rsidRDefault="007476AA">
            <w:pPr>
              <w:jc w:val="both"/>
              <w:rPr>
                <w:rFonts w:eastAsia="標楷體"/>
              </w:rPr>
            </w:pPr>
          </w:p>
        </w:tc>
      </w:tr>
      <w:tr w:rsidR="007476AA" w:rsidTr="007476AA">
        <w:trPr>
          <w:trHeight w:val="538"/>
        </w:trPr>
        <w:tc>
          <w:tcPr>
            <w:tcW w:w="8985" w:type="dxa"/>
            <w:gridSpan w:val="4"/>
            <w:tcBorders>
              <w:top w:val="single" w:sz="4" w:space="0" w:color="auto"/>
              <w:left w:val="thinThickSmallGap" w:sz="24" w:space="0" w:color="auto"/>
              <w:bottom w:val="nil"/>
              <w:right w:val="thinThickSmallGap" w:sz="24" w:space="0" w:color="auto"/>
            </w:tcBorders>
            <w:hideMark/>
          </w:tcPr>
          <w:p w:rsidR="007476AA" w:rsidRDefault="007476AA">
            <w:r>
              <w:rPr>
                <w:rFonts w:eastAsia="標楷體" w:hAnsi="標楷體" w:hint="eastAsia"/>
                <w:b/>
                <w:sz w:val="32"/>
                <w:szCs w:val="32"/>
              </w:rPr>
              <w:t>心得感想與建議：</w:t>
            </w:r>
          </w:p>
        </w:tc>
      </w:tr>
      <w:tr w:rsidR="007476AA" w:rsidTr="007476AA">
        <w:trPr>
          <w:trHeight w:val="8332"/>
        </w:trPr>
        <w:tc>
          <w:tcPr>
            <w:tcW w:w="8985" w:type="dxa"/>
            <w:gridSpan w:val="4"/>
            <w:tcBorders>
              <w:top w:val="nil"/>
              <w:left w:val="thinThickSmallGap" w:sz="24" w:space="0" w:color="auto"/>
              <w:bottom w:val="thinThickSmallGap" w:sz="24" w:space="0" w:color="auto"/>
              <w:right w:val="thinThickSmallGap" w:sz="24" w:space="0" w:color="auto"/>
            </w:tcBorders>
          </w:tcPr>
          <w:p w:rsidR="007476AA" w:rsidRDefault="007476AA">
            <w:pPr>
              <w:autoSpaceDE w:val="0"/>
              <w:autoSpaceDN w:val="0"/>
              <w:adjustRightInd w:val="0"/>
              <w:rPr>
                <w:rFonts w:eastAsia="標楷體" w:hAnsi="標楷體"/>
              </w:rPr>
            </w:pPr>
          </w:p>
          <w:p w:rsidR="007476AA" w:rsidRDefault="007476AA" w:rsidP="007476AA">
            <w:pPr>
              <w:spacing w:line="360" w:lineRule="exact"/>
              <w:ind w:rightChars="55" w:right="132"/>
              <w:rPr>
                <w:rFonts w:eastAsia="標楷體" w:hAnsi="標楷體" w:hint="eastAsia"/>
                <w:sz w:val="28"/>
                <w:szCs w:val="28"/>
              </w:rPr>
            </w:pPr>
            <w:r>
              <w:rPr>
                <w:rFonts w:eastAsia="標楷體" w:hAnsi="標楷體"/>
                <w:sz w:val="28"/>
                <w:szCs w:val="28"/>
              </w:rPr>
              <w:t xml:space="preserve">    </w:t>
            </w:r>
            <w:r>
              <w:rPr>
                <w:rFonts w:eastAsia="標楷體" w:hAnsi="標楷體" w:hint="eastAsia"/>
                <w:sz w:val="28"/>
                <w:szCs w:val="28"/>
              </w:rPr>
              <w:t>這次的專題演講是由中華</w:t>
            </w:r>
            <w:proofErr w:type="gramStart"/>
            <w:r>
              <w:rPr>
                <w:rFonts w:eastAsia="標楷體" w:hAnsi="標楷體" w:hint="eastAsia"/>
                <w:sz w:val="28"/>
                <w:szCs w:val="28"/>
              </w:rPr>
              <w:t>醫</w:t>
            </w:r>
            <w:proofErr w:type="gramEnd"/>
            <w:r>
              <w:rPr>
                <w:rFonts w:eastAsia="標楷體" w:hAnsi="標楷體" w:hint="eastAsia"/>
                <w:sz w:val="28"/>
                <w:szCs w:val="28"/>
              </w:rPr>
              <w:t>事科技大學的黃煥彰教授來為我們演講，而</w:t>
            </w:r>
            <w:r>
              <w:rPr>
                <w:rFonts w:eastAsia="標楷體" w:hAnsi="標楷體" w:hint="eastAsia"/>
                <w:sz w:val="28"/>
                <w:szCs w:val="28"/>
              </w:rPr>
              <w:t>這次專題演講的主題大多為環境生態，包含爐渣、煤渣以及戴奧辛等，</w:t>
            </w:r>
            <w:r w:rsidRPr="007476AA">
              <w:rPr>
                <w:rFonts w:eastAsia="標楷體" w:hAnsi="標楷體"/>
                <w:sz w:val="28"/>
                <w:szCs w:val="28"/>
              </w:rPr>
              <w:t>發臭的溪流、消失的綠地、重金屬污染的農魚產</w:t>
            </w:r>
            <w:r>
              <w:rPr>
                <w:rFonts w:eastAsia="標楷體" w:hAnsi="標楷體" w:hint="eastAsia"/>
                <w:sz w:val="28"/>
                <w:szCs w:val="28"/>
              </w:rPr>
              <w:t>。</w:t>
            </w:r>
          </w:p>
          <w:p w:rsidR="007476AA" w:rsidRPr="007476AA" w:rsidRDefault="007476AA" w:rsidP="007476AA">
            <w:pPr>
              <w:spacing w:line="360" w:lineRule="exact"/>
              <w:ind w:rightChars="55" w:right="132"/>
              <w:rPr>
                <w:rFonts w:eastAsia="標楷體" w:hAnsi="標楷體" w:hint="eastAsia"/>
                <w:sz w:val="28"/>
                <w:szCs w:val="28"/>
              </w:rPr>
            </w:pPr>
            <w:r w:rsidRPr="007476AA">
              <w:rPr>
                <w:rFonts w:eastAsia="標楷體" w:hAnsi="標楷體"/>
                <w:sz w:val="28"/>
                <w:szCs w:val="28"/>
              </w:rPr>
              <w:t>黃煥彰像鬥士，強悍地守護環境正義</w:t>
            </w:r>
            <w:r>
              <w:rPr>
                <w:rFonts w:eastAsia="標楷體" w:hAnsi="標楷體" w:hint="eastAsia"/>
                <w:sz w:val="28"/>
                <w:szCs w:val="28"/>
              </w:rPr>
              <w:t>。</w:t>
            </w:r>
          </w:p>
          <w:p w:rsidR="007476AA" w:rsidRDefault="007476AA" w:rsidP="007476AA">
            <w:pPr>
              <w:spacing w:line="360" w:lineRule="exact"/>
              <w:ind w:rightChars="55" w:right="132"/>
              <w:rPr>
                <w:rFonts w:eastAsia="標楷體" w:hAnsi="標楷體"/>
                <w:sz w:val="28"/>
                <w:szCs w:val="28"/>
              </w:rPr>
            </w:pPr>
            <w:r w:rsidRPr="007476AA">
              <w:rPr>
                <w:rFonts w:eastAsia="標楷體" w:hAnsi="標楷體"/>
                <w:sz w:val="28"/>
                <w:szCs w:val="28"/>
              </w:rPr>
              <w:t>當時，二仁溪的污染堪稱「台灣第一」，早期沿岸便出現養豬場，不法商人處理廢五金、電子廢棄物</w:t>
            </w:r>
            <w:r w:rsidRPr="007476AA">
              <w:rPr>
                <w:rFonts w:eastAsia="標楷體" w:hAnsi="標楷體"/>
                <w:sz w:val="28"/>
                <w:szCs w:val="28"/>
              </w:rPr>
              <w:t>獲利，卻讓灣</w:t>
            </w:r>
            <w:proofErr w:type="gramStart"/>
            <w:r w:rsidRPr="007476AA">
              <w:rPr>
                <w:rFonts w:eastAsia="標楷體" w:hAnsi="標楷體"/>
                <w:sz w:val="28"/>
                <w:szCs w:val="28"/>
              </w:rPr>
              <w:t>裏</w:t>
            </w:r>
            <w:proofErr w:type="gramEnd"/>
            <w:r w:rsidRPr="007476AA">
              <w:rPr>
                <w:rFonts w:eastAsia="標楷體" w:hAnsi="標楷體"/>
                <w:sz w:val="28"/>
                <w:szCs w:val="28"/>
              </w:rPr>
              <w:t>居民生出無腦兒、兔唇兒，極高比例的居民死於癌症；</w:t>
            </w:r>
            <w:r w:rsidRPr="007476AA">
              <w:rPr>
                <w:rFonts w:eastAsia="標楷體" w:hAnsi="標楷體" w:hint="eastAsia"/>
                <w:sz w:val="28"/>
                <w:szCs w:val="28"/>
              </w:rPr>
              <w:t>80</w:t>
            </w:r>
            <w:r w:rsidRPr="007476AA">
              <w:rPr>
                <w:rFonts w:eastAsia="標楷體" w:hAnsi="標楷體"/>
                <w:sz w:val="28"/>
                <w:szCs w:val="28"/>
              </w:rPr>
              <w:t>年代後出現的熔煉廠，則夜以繼日地將硫酸排入二仁溪中…</w:t>
            </w:r>
            <w:proofErr w:type="gramStart"/>
            <w:r w:rsidRPr="007476AA">
              <w:rPr>
                <w:rFonts w:eastAsia="標楷體" w:hAnsi="標楷體"/>
                <w:sz w:val="28"/>
                <w:szCs w:val="28"/>
              </w:rPr>
              <w:t>…</w:t>
            </w:r>
            <w:proofErr w:type="gramEnd"/>
            <w:r w:rsidRPr="007476AA">
              <w:rPr>
                <w:rFonts w:eastAsia="標楷體" w:hAnsi="標楷體"/>
                <w:sz w:val="28"/>
                <w:szCs w:val="28"/>
              </w:rPr>
              <w:t>「污染不僅造成河水變色、發臭，且會連帶影響農漁業。不但農漁民無奈，污染的食物也可能被人吃下肚。對環境的破壞的苦果，終究會回歸自身，」黃煥彰指出河川保育的重要。</w:t>
            </w:r>
          </w:p>
          <w:p w:rsidR="007476AA" w:rsidRDefault="007476AA" w:rsidP="007476AA">
            <w:pPr>
              <w:spacing w:line="360" w:lineRule="exact"/>
              <w:ind w:rightChars="55" w:right="132"/>
              <w:rPr>
                <w:rFonts w:eastAsia="標楷體" w:hAnsi="標楷體"/>
                <w:sz w:val="28"/>
                <w:szCs w:val="28"/>
              </w:rPr>
            </w:pPr>
            <w:r>
              <w:rPr>
                <w:rFonts w:eastAsia="標楷體" w:hAnsi="標楷體"/>
                <w:sz w:val="28"/>
                <w:szCs w:val="28"/>
              </w:rPr>
              <w:t xml:space="preserve"> </w:t>
            </w:r>
            <w:r>
              <w:rPr>
                <w:rFonts w:eastAsia="標楷體" w:hAnsi="標楷體" w:hint="eastAsia"/>
                <w:sz w:val="28"/>
                <w:szCs w:val="28"/>
              </w:rPr>
              <w:t>然而在我們的河川中不應該有那些重金屬等等的電子廢棄物，希望政府能夠好好的重視我們自己再用的河川，</w:t>
            </w:r>
            <w:proofErr w:type="gramStart"/>
            <w:r>
              <w:rPr>
                <w:rFonts w:eastAsia="標楷體" w:hAnsi="標楷體" w:hint="eastAsia"/>
                <w:sz w:val="28"/>
                <w:szCs w:val="28"/>
              </w:rPr>
              <w:t>好擬</w:t>
            </w:r>
            <w:proofErr w:type="gramEnd"/>
            <w:r>
              <w:rPr>
                <w:rFonts w:eastAsia="標楷體" w:hAnsi="標楷體" w:hint="eastAsia"/>
                <w:sz w:val="28"/>
                <w:szCs w:val="28"/>
              </w:rPr>
              <w:t>出</w:t>
            </w:r>
            <w:proofErr w:type="gramStart"/>
            <w:r>
              <w:rPr>
                <w:rFonts w:eastAsia="標楷體" w:hAnsi="標楷體" w:hint="eastAsia"/>
                <w:sz w:val="28"/>
                <w:szCs w:val="28"/>
              </w:rPr>
              <w:t>ㄧ</w:t>
            </w:r>
            <w:proofErr w:type="gramEnd"/>
            <w:r>
              <w:rPr>
                <w:rFonts w:eastAsia="標楷體" w:hAnsi="標楷體" w:hint="eastAsia"/>
                <w:sz w:val="28"/>
                <w:szCs w:val="28"/>
              </w:rPr>
              <w:t>些對策讓不</w:t>
            </w:r>
            <w:r w:rsidR="00254376">
              <w:rPr>
                <w:rFonts w:eastAsia="標楷體" w:hAnsi="標楷體" w:hint="eastAsia"/>
                <w:sz w:val="28"/>
                <w:szCs w:val="28"/>
              </w:rPr>
              <w:t>肖的業者能夠好好的反省，</w:t>
            </w:r>
            <w:bookmarkStart w:id="0" w:name="_GoBack"/>
            <w:bookmarkEnd w:id="0"/>
            <w:r w:rsidRPr="007476AA">
              <w:rPr>
                <w:rFonts w:eastAsia="標楷體" w:hAnsi="標楷體"/>
                <w:sz w:val="28"/>
                <w:szCs w:val="28"/>
              </w:rPr>
              <w:t>讓自然界的生命永遠延續，不但是重要的價值，更是我們留給子孫最好的禮物。</w:t>
            </w:r>
          </w:p>
        </w:tc>
      </w:tr>
    </w:tbl>
    <w:p w:rsidR="007476AA" w:rsidRDefault="007476AA" w:rsidP="007476AA"/>
    <w:p w:rsidR="00BC7E84" w:rsidRPr="007476AA" w:rsidRDefault="00BC7E84"/>
    <w:sectPr w:rsidR="00BC7E84" w:rsidRPr="007476AA" w:rsidSect="007476A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6AA"/>
    <w:rsid w:val="00254376"/>
    <w:rsid w:val="007476AA"/>
    <w:rsid w:val="00BC7E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6A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476AA"/>
    <w:rPr>
      <w:strike w:val="0"/>
      <w:dstrike w:val="0"/>
      <w:color w:val="4444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6A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476AA"/>
    <w:rPr>
      <w:strike w:val="0"/>
      <w:dstrike w:val="0"/>
      <w:color w:val="4444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21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丫佑</dc:creator>
  <cp:lastModifiedBy>丫佑</cp:lastModifiedBy>
  <cp:revision>1</cp:revision>
  <dcterms:created xsi:type="dcterms:W3CDTF">2012-06-05T15:09:00Z</dcterms:created>
  <dcterms:modified xsi:type="dcterms:W3CDTF">2012-06-05T15:20:00Z</dcterms:modified>
</cp:coreProperties>
</file>