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CF676F" w:rsidRPr="001B1406" w:rsidTr="001B1406">
        <w:tc>
          <w:tcPr>
            <w:tcW w:w="8362" w:type="dxa"/>
          </w:tcPr>
          <w:p w:rsidR="00CF676F" w:rsidRPr="001B1406" w:rsidRDefault="00CF676F">
            <w:pPr>
              <w:rPr>
                <w:rFonts w:ascii="Times New Roman" w:eastAsia="標楷體" w:hAnsi="Times New Roman"/>
                <w:sz w:val="48"/>
                <w:szCs w:val="48"/>
              </w:rPr>
            </w:pPr>
            <w:r w:rsidRPr="001B1406">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w:t>
            </w:r>
            <w:r w:rsidRPr="001B1406">
              <w:rPr>
                <w:rFonts w:ascii="Times New Roman" w:eastAsia="標楷體" w:hAnsi="Times New Roman" w:hint="eastAsia"/>
                <w:sz w:val="48"/>
                <w:szCs w:val="48"/>
              </w:rPr>
              <w:t>心得</w:t>
            </w:r>
            <w:r w:rsidRPr="001B1406">
              <w:rPr>
                <w:rFonts w:ascii="Times New Roman" w:eastAsia="標楷體" w:hAnsi="Times New Roman"/>
                <w:sz w:val="48"/>
                <w:szCs w:val="48"/>
              </w:rPr>
              <w:t>(</w:t>
            </w:r>
            <w:r w:rsidRPr="001B1406">
              <w:rPr>
                <w:rFonts w:ascii="Times New Roman" w:eastAsia="標楷體" w:hAnsi="Times New Roman" w:hint="eastAsia"/>
                <w:sz w:val="48"/>
                <w:szCs w:val="48"/>
              </w:rPr>
              <w:t>第</w:t>
            </w:r>
            <w:r>
              <w:rPr>
                <w:rFonts w:ascii="Times New Roman" w:eastAsia="標楷體" w:hAnsi="Times New Roman" w:hint="eastAsia"/>
                <w:sz w:val="48"/>
                <w:szCs w:val="48"/>
              </w:rPr>
              <w:t>二</w:t>
            </w:r>
            <w:r w:rsidRPr="001B1406">
              <w:rPr>
                <w:rFonts w:ascii="Times New Roman" w:eastAsia="標楷體" w:hAnsi="Times New Roman" w:hint="eastAsia"/>
                <w:sz w:val="48"/>
                <w:szCs w:val="48"/>
              </w:rPr>
              <w:t>次</w:t>
            </w:r>
            <w:r w:rsidRPr="001B1406">
              <w:rPr>
                <w:rFonts w:ascii="Times New Roman" w:eastAsia="標楷體" w:hAnsi="Times New Roman"/>
                <w:sz w:val="48"/>
                <w:szCs w:val="48"/>
              </w:rPr>
              <w:t>)</w:t>
            </w:r>
          </w:p>
        </w:tc>
      </w:tr>
      <w:tr w:rsidR="00CF676F" w:rsidRPr="001B1406" w:rsidTr="001B1406">
        <w:tc>
          <w:tcPr>
            <w:tcW w:w="8362" w:type="dxa"/>
          </w:tcPr>
          <w:p w:rsidR="00CF676F" w:rsidRPr="001B1406" w:rsidRDefault="00CF676F">
            <w:pPr>
              <w:rPr>
                <w:rFonts w:ascii="Times New Roman" w:eastAsia="標楷體" w:hAnsi="Times New Roman"/>
              </w:rPr>
            </w:pPr>
            <w:r w:rsidRPr="001B1406">
              <w:rPr>
                <w:rFonts w:ascii="Times New Roman" w:eastAsia="標楷體" w:hAnsi="Times New Roman" w:hint="eastAsia"/>
              </w:rPr>
              <w:t>標題：</w:t>
            </w:r>
            <w:r>
              <w:rPr>
                <w:rFonts w:ascii="Times New Roman" w:eastAsia="標楷體" w:hAnsi="Times New Roman" w:hint="eastAsia"/>
              </w:rPr>
              <w:t>工程倫理</w:t>
            </w:r>
          </w:p>
        </w:tc>
      </w:tr>
      <w:tr w:rsidR="00CF676F" w:rsidRPr="001B1406" w:rsidTr="001B1406">
        <w:tc>
          <w:tcPr>
            <w:tcW w:w="8362" w:type="dxa"/>
          </w:tcPr>
          <w:p w:rsidR="00CF676F" w:rsidRPr="001B1406" w:rsidRDefault="00CF676F">
            <w:pPr>
              <w:rPr>
                <w:rFonts w:ascii="Times New Roman" w:eastAsia="標楷體" w:hAnsi="Times New Roman"/>
              </w:rPr>
            </w:pPr>
            <w:r w:rsidRPr="001B1406">
              <w:rPr>
                <w:rFonts w:ascii="Times New Roman" w:eastAsia="標楷體" w:hAnsi="Times New Roman" w:hint="eastAsia"/>
              </w:rPr>
              <w:t>班級：</w:t>
            </w:r>
            <w:r>
              <w:rPr>
                <w:rFonts w:ascii="Times New Roman" w:eastAsia="標楷體" w:hAnsi="Times New Roman" w:hint="eastAsia"/>
              </w:rPr>
              <w:t>化材</w:t>
            </w:r>
            <w:smartTag w:uri="urn:schemas-microsoft-com:office:smarttags" w:element="chmetcnv">
              <w:smartTagPr>
                <w:attr w:name="TCSC" w:val="1"/>
                <w:attr w:name="NumberType" w:val="3"/>
                <w:attr w:name="Negative" w:val="False"/>
                <w:attr w:name="HasSpace" w:val="False"/>
                <w:attr w:name="SourceValue" w:val="3"/>
                <w:attr w:name="UnitName" w:val="甲"/>
              </w:smartTagPr>
              <w:r>
                <w:rPr>
                  <w:rFonts w:ascii="Times New Roman" w:eastAsia="標楷體" w:hAnsi="Times New Roman" w:hint="eastAsia"/>
                </w:rPr>
                <w:t>三甲</w:t>
              </w:r>
            </w:smartTag>
          </w:p>
        </w:tc>
      </w:tr>
      <w:tr w:rsidR="00CF676F" w:rsidRPr="001B1406" w:rsidTr="001B1406">
        <w:tc>
          <w:tcPr>
            <w:tcW w:w="8362" w:type="dxa"/>
          </w:tcPr>
          <w:p w:rsidR="00CF676F" w:rsidRPr="001B1406" w:rsidRDefault="00CF676F" w:rsidP="00F0581B">
            <w:pPr>
              <w:rPr>
                <w:rFonts w:ascii="Times New Roman" w:eastAsia="標楷體" w:hAnsi="Times New Roman"/>
              </w:rPr>
            </w:pPr>
            <w:r w:rsidRPr="001B1406">
              <w:rPr>
                <w:rFonts w:ascii="Times New Roman" w:eastAsia="標楷體" w:hAnsi="Times New Roman" w:hint="eastAsia"/>
              </w:rPr>
              <w:t>學號：</w:t>
            </w:r>
            <w:r>
              <w:rPr>
                <w:rFonts w:ascii="Times New Roman" w:eastAsia="標楷體" w:hAnsi="Times New Roman"/>
              </w:rPr>
              <w:t>49940033</w:t>
            </w:r>
          </w:p>
        </w:tc>
      </w:tr>
      <w:tr w:rsidR="00CF676F" w:rsidRPr="001B1406" w:rsidTr="001B1406">
        <w:tc>
          <w:tcPr>
            <w:tcW w:w="8362" w:type="dxa"/>
          </w:tcPr>
          <w:p w:rsidR="00CF676F" w:rsidRPr="001B1406" w:rsidRDefault="00CF676F">
            <w:pPr>
              <w:rPr>
                <w:rFonts w:ascii="Times New Roman" w:eastAsia="標楷體" w:hAnsi="Times New Roman"/>
              </w:rPr>
            </w:pPr>
            <w:r w:rsidRPr="001B1406">
              <w:rPr>
                <w:rFonts w:ascii="Times New Roman" w:eastAsia="標楷體" w:hAnsi="Times New Roman" w:hint="eastAsia"/>
              </w:rPr>
              <w:t>姓名：</w:t>
            </w:r>
            <w:r>
              <w:rPr>
                <w:rFonts w:ascii="Times New Roman" w:eastAsia="標楷體" w:hAnsi="Times New Roman" w:hint="eastAsia"/>
              </w:rPr>
              <w:t>林易霖</w:t>
            </w:r>
          </w:p>
        </w:tc>
      </w:tr>
      <w:tr w:rsidR="00CF676F" w:rsidRPr="001B1406" w:rsidTr="00AD06D1">
        <w:trPr>
          <w:trHeight w:val="11390"/>
        </w:trPr>
        <w:tc>
          <w:tcPr>
            <w:tcW w:w="8362" w:type="dxa"/>
          </w:tcPr>
          <w:p w:rsidR="00CF676F" w:rsidRDefault="00CF676F">
            <w:pPr>
              <w:rPr>
                <w:rFonts w:ascii="Times New Roman" w:eastAsia="標楷體" w:hAnsi="Times New Roman"/>
              </w:rPr>
            </w:pPr>
            <w:r>
              <w:rPr>
                <w:rFonts w:ascii="Times New Roman" w:eastAsia="標楷體" w:hAnsi="Times New Roman" w:hint="eastAsia"/>
              </w:rPr>
              <w:t>心得</w:t>
            </w:r>
            <w:r w:rsidRPr="001B1406">
              <w:rPr>
                <w:rFonts w:ascii="Times New Roman" w:eastAsia="標楷體" w:hAnsi="Times New Roman" w:hint="eastAsia"/>
              </w:rPr>
              <w:t>：</w:t>
            </w:r>
          </w:p>
          <w:p w:rsidR="00CF676F" w:rsidRDefault="00CF676F" w:rsidP="006723F7">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rPr>
              <w:t>本次請來清華大學的周卓煇教授來演講，首先周教授利用他幽默的風格與問問題的方式來讓我們對於工程倫理有更深的認識。例如有</w:t>
            </w:r>
            <w:r>
              <w:rPr>
                <w:rFonts w:ascii="Times New Roman" w:eastAsia="標楷體" w:hAnsi="Times New Roman"/>
              </w:rPr>
              <w:t>:LED</w:t>
            </w:r>
            <w:r>
              <w:rPr>
                <w:rFonts w:ascii="Times New Roman" w:eastAsia="標楷體" w:hAnsi="Times New Roman" w:hint="eastAsia"/>
              </w:rPr>
              <w:t>發明人中村修二博士以及大家耳熟能詳的鐵達尼號以及火箭和電動車等等的問題來讓我們了解，周教授最後也讓我了解到，工程倫理的問題並沒有絕對的答案。</w:t>
            </w:r>
          </w:p>
          <w:p w:rsidR="00CF676F" w:rsidRDefault="00CF676F" w:rsidP="006723F7">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rPr>
              <w:t>周教授的演講十分生動活潑，這次的演講讓人獲益良多。在未來踏入職場的我肯定能有所幫助，該如何去處理相關的倫理問題，肯定能讓我更容易的上手，並且駕輕就熟的處理各式各樣的問題。</w:t>
            </w:r>
          </w:p>
          <w:p w:rsidR="00CF676F" w:rsidRDefault="00CF676F" w:rsidP="006723F7">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rPr>
              <w:t>第二位演講者是來自成功大學醫學科技與社會研究中心的翁裕峰教授，在一開始就先提出了幾個重點</w:t>
            </w:r>
            <w:r>
              <w:rPr>
                <w:rFonts w:ascii="Times New Roman" w:eastAsia="標楷體" w:hAnsi="Times New Roman"/>
              </w:rPr>
              <w:t>:</w:t>
            </w:r>
            <w:r>
              <w:rPr>
                <w:rFonts w:ascii="Times New Roman" w:eastAsia="標楷體" w:hAnsi="Times New Roman" w:hint="eastAsia"/>
              </w:rPr>
              <w:t>國家科學人員可以同時在外兼任顧問等職務嗎</w:t>
            </w:r>
            <w:r>
              <w:rPr>
                <w:rFonts w:ascii="Times New Roman" w:eastAsia="標楷體" w:hAnsi="Times New Roman"/>
              </w:rPr>
              <w:t>?</w:t>
            </w:r>
            <w:r>
              <w:rPr>
                <w:rFonts w:ascii="Times New Roman" w:eastAsia="標楷體" w:hAnsi="Times New Roman" w:hint="eastAsia"/>
              </w:rPr>
              <w:t>還有產學合作的背景及生技新藥條例從無到有的發展。</w:t>
            </w:r>
          </w:p>
          <w:p w:rsidR="00CF676F" w:rsidRDefault="00CF676F" w:rsidP="006723F7">
            <w:pPr>
              <w:rPr>
                <w:rFonts w:ascii="標楷體" w:eastAsia="標楷體" w:hAnsi="標楷體"/>
              </w:rPr>
            </w:pPr>
            <w:r>
              <w:rPr>
                <w:rFonts w:ascii="標楷體" w:eastAsia="標楷體" w:hAnsi="標楷體"/>
              </w:rPr>
              <w:t xml:space="preserve">   </w:t>
            </w:r>
            <w:r>
              <w:rPr>
                <w:rFonts w:ascii="標楷體" w:eastAsia="標楷體" w:hAnsi="標楷體" w:hint="eastAsia"/>
              </w:rPr>
              <w:t>這兩場演講真的讓我了解很多工程倫理的一些觀念，那些教授都想辦法跟我們互動，只是我們好像都不太會應對，教授們所準備的資訊相當豐富，也希望以後也會有這些類似的演講，可多聽多吸收知識。</w:t>
            </w:r>
          </w:p>
          <w:p w:rsidR="00CF676F" w:rsidRPr="006723F7" w:rsidRDefault="00CF676F" w:rsidP="006723F7">
            <w:pPr>
              <w:rPr>
                <w:rFonts w:ascii="標楷體" w:eastAsia="標楷體" w:hAnsi="標楷體"/>
              </w:rPr>
            </w:pPr>
          </w:p>
          <w:p w:rsidR="00CF676F" w:rsidRDefault="00CF676F" w:rsidP="006723F7">
            <w:pPr>
              <w:rPr>
                <w:rFonts w:ascii="標楷體" w:eastAsia="標楷體" w:hAnsi="標楷體"/>
              </w:rPr>
            </w:pPr>
            <w:r>
              <w:rPr>
                <w:rFonts w:ascii="標楷體" w:eastAsia="標楷體" w:hAnsi="標楷體"/>
              </w:rPr>
              <w:t xml:space="preserve">                                                                     </w:t>
            </w:r>
          </w:p>
          <w:p w:rsidR="00CF676F" w:rsidRPr="006723F7" w:rsidRDefault="00CF676F">
            <w:pPr>
              <w:rPr>
                <w:rFonts w:ascii="Times New Roman" w:eastAsia="標楷體" w:hAnsi="Times New Roman"/>
              </w:rPr>
            </w:pPr>
          </w:p>
        </w:tc>
      </w:tr>
    </w:tbl>
    <w:p w:rsidR="00CF676F" w:rsidRDefault="00CF676F" w:rsidP="00AD06D1"/>
    <w:sectPr w:rsidR="00CF676F" w:rsidSect="00AF548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76F" w:rsidRDefault="00CF676F" w:rsidP="003C16C3">
      <w:r>
        <w:separator/>
      </w:r>
    </w:p>
  </w:endnote>
  <w:endnote w:type="continuationSeparator" w:id="0">
    <w:p w:rsidR="00CF676F" w:rsidRDefault="00CF676F" w:rsidP="003C1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76F" w:rsidRDefault="00CF676F" w:rsidP="003C16C3">
      <w:r>
        <w:separator/>
      </w:r>
    </w:p>
  </w:footnote>
  <w:footnote w:type="continuationSeparator" w:id="0">
    <w:p w:rsidR="00CF676F" w:rsidRDefault="00CF676F" w:rsidP="003C1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406"/>
    <w:rsid w:val="0018170F"/>
    <w:rsid w:val="001B1406"/>
    <w:rsid w:val="0023003F"/>
    <w:rsid w:val="003C16C3"/>
    <w:rsid w:val="006723F7"/>
    <w:rsid w:val="008A551F"/>
    <w:rsid w:val="00AD06D1"/>
    <w:rsid w:val="00AF5480"/>
    <w:rsid w:val="00CF676F"/>
    <w:rsid w:val="00F0581B"/>
    <w:rsid w:val="00FC6D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8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140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3C16C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3C16C3"/>
    <w:rPr>
      <w:rFonts w:cs="Times New Roman"/>
      <w:kern w:val="2"/>
    </w:rPr>
  </w:style>
  <w:style w:type="paragraph" w:styleId="Footer">
    <w:name w:val="footer"/>
    <w:basedOn w:val="Normal"/>
    <w:link w:val="FooterChar"/>
    <w:uiPriority w:val="99"/>
    <w:semiHidden/>
    <w:rsid w:val="003C16C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3C16C3"/>
    <w:rPr>
      <w:rFonts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81</Words>
  <Characters>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vencent</cp:lastModifiedBy>
  <cp:revision>3</cp:revision>
  <dcterms:created xsi:type="dcterms:W3CDTF">2012-12-23T07:12:00Z</dcterms:created>
  <dcterms:modified xsi:type="dcterms:W3CDTF">2012-12-28T17:50:00Z</dcterms:modified>
</cp:coreProperties>
</file>